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4845" w14:textId="77777777" w:rsidR="00F45E4C" w:rsidRPr="00753A22" w:rsidRDefault="00F45E4C" w:rsidP="00C35DF9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1076FB1F" wp14:editId="3F8C912E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C6A24" w14:textId="77777777" w:rsidR="00F45E4C" w:rsidRPr="00753A22" w:rsidRDefault="00F45E4C" w:rsidP="00C35DF9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e Kosovës</w:t>
      </w:r>
    </w:p>
    <w:p w14:paraId="5010B035" w14:textId="77777777" w:rsidR="00F45E4C" w:rsidRPr="00753A22" w:rsidRDefault="00F45E4C" w:rsidP="00C35DF9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Kosova-Republic of Kosovo</w:t>
      </w:r>
    </w:p>
    <w:p w14:paraId="2B44C5E2" w14:textId="77777777" w:rsidR="00F45E4C" w:rsidRPr="00753A22" w:rsidRDefault="00F45E4C" w:rsidP="00C35DF9">
      <w:pPr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753A22">
        <w:rPr>
          <w:rFonts w:ascii="Book Antiqua" w:hAnsi="Book Antiqua"/>
          <w:b/>
          <w:sz w:val="24"/>
          <w:szCs w:val="24"/>
          <w:lang w:val="hr-HR"/>
        </w:rPr>
        <w:t>Qeveria - Vlada - Government</w:t>
      </w:r>
    </w:p>
    <w:p w14:paraId="086846C5" w14:textId="77777777" w:rsidR="00F45E4C" w:rsidRPr="0069607E" w:rsidRDefault="00F45E4C" w:rsidP="00C35DF9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Ministria e Zhvillimit Rajonal</w:t>
      </w:r>
    </w:p>
    <w:p w14:paraId="236FBAFA" w14:textId="77777777" w:rsidR="00F45E4C" w:rsidRPr="0069607E" w:rsidRDefault="00F45E4C" w:rsidP="00C35DF9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Ministarstvo za Regionalni Razvoj</w:t>
      </w:r>
    </w:p>
    <w:p w14:paraId="1064C045" w14:textId="77777777" w:rsidR="00F45E4C" w:rsidRPr="0069607E" w:rsidRDefault="00F45E4C" w:rsidP="00C35DF9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Ministry of Regional Development</w:t>
      </w:r>
    </w:p>
    <w:p w14:paraId="0430DA6E" w14:textId="77777777" w:rsidR="00F45E4C" w:rsidRPr="00753A22" w:rsidRDefault="00F45E4C" w:rsidP="00C35DF9">
      <w:pPr>
        <w:pBdr>
          <w:bottom w:val="single" w:sz="4" w:space="0" w:color="auto"/>
        </w:pBdr>
        <w:jc w:val="center"/>
        <w:rPr>
          <w:rFonts w:ascii="Book Antiqua" w:hAnsi="Book Antiqua"/>
          <w:sz w:val="24"/>
          <w:szCs w:val="24"/>
          <w:lang w:val="hr-HR"/>
        </w:rPr>
      </w:pPr>
    </w:p>
    <w:p w14:paraId="31923A67" w14:textId="77777777" w:rsidR="00E46BB7" w:rsidRPr="00FD7E91" w:rsidRDefault="00E46BB7" w:rsidP="00E46BB7">
      <w:pPr>
        <w:autoSpaceDE w:val="0"/>
        <w:autoSpaceDN w:val="0"/>
        <w:adjustRightInd w:val="0"/>
        <w:rPr>
          <w:rFonts w:ascii="Book Antiqua" w:eastAsia="Tahoma" w:hAnsi="Book Antiqua"/>
          <w:sz w:val="24"/>
          <w:szCs w:val="24"/>
        </w:rPr>
      </w:pPr>
    </w:p>
    <w:p w14:paraId="51D74514" w14:textId="77777777" w:rsidR="00E46BB7" w:rsidRDefault="00E46BB7" w:rsidP="00E46BB7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>
        <w:rPr>
          <w:rFonts w:ascii="Book Antiqua" w:eastAsia="MS Mincho" w:hAnsi="Book Antiqua"/>
          <w:b/>
          <w:sz w:val="24"/>
          <w:szCs w:val="24"/>
        </w:rPr>
        <w:t xml:space="preserve">VODIČ ZA IMPLEMENTACIJU PROJEKATA U OKVIRU </w:t>
      </w:r>
    </w:p>
    <w:p w14:paraId="4A81EAEE" w14:textId="4E7608F4" w:rsidR="00E46BB7" w:rsidRPr="00FD7E91" w:rsidRDefault="00E46BB7" w:rsidP="00E46BB7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>
        <w:rPr>
          <w:rFonts w:ascii="Book Antiqua" w:eastAsia="MS Mincho" w:hAnsi="Book Antiqua"/>
          <w:b/>
          <w:sz w:val="24"/>
          <w:szCs w:val="24"/>
        </w:rPr>
        <w:t xml:space="preserve">„BALANSIRANI PROGRAM ZA REGIONALNI RAZVOJ </w:t>
      </w:r>
      <w:r>
        <w:rPr>
          <w:rFonts w:ascii="Book Antiqua" w:hAnsi="Book Antiqua" w:cs="HelveticaNeueLTPro-Hv"/>
          <w:b/>
          <w:sz w:val="24"/>
          <w:szCs w:val="24"/>
        </w:rPr>
        <w:t>–</w:t>
      </w:r>
      <w:r w:rsidRPr="00FD7E91">
        <w:rPr>
          <w:rFonts w:ascii="Book Antiqua" w:hAnsi="Book Antiqua" w:cs="HelveticaNeueLTPro-Hv"/>
          <w:b/>
          <w:sz w:val="24"/>
          <w:szCs w:val="24"/>
        </w:rPr>
        <w:t xml:space="preserve"> </w:t>
      </w:r>
      <w:r w:rsidR="00334108">
        <w:rPr>
          <w:rFonts w:ascii="Book Antiqua" w:hAnsi="Book Antiqua" w:cs="HelveticaNeueLTPro-Hv"/>
          <w:b/>
          <w:sz w:val="24"/>
          <w:szCs w:val="24"/>
        </w:rPr>
        <w:t>PURR</w:t>
      </w:r>
      <w:r>
        <w:rPr>
          <w:rFonts w:ascii="Book Antiqua" w:hAnsi="Book Antiqua" w:cs="HelveticaNeueLTPro-Hv"/>
          <w:b/>
          <w:sz w:val="24"/>
          <w:szCs w:val="24"/>
        </w:rPr>
        <w:t>” 202</w:t>
      </w:r>
      <w:r w:rsidR="00334108">
        <w:rPr>
          <w:rFonts w:ascii="Book Antiqua" w:hAnsi="Book Antiqua" w:cs="HelveticaNeueLTPro-Hv"/>
          <w:b/>
          <w:sz w:val="24"/>
          <w:szCs w:val="24"/>
        </w:rPr>
        <w:t>2</w:t>
      </w:r>
    </w:p>
    <w:p w14:paraId="751E7E0E" w14:textId="77777777" w:rsidR="00E46BB7" w:rsidRPr="00FD7E91" w:rsidRDefault="00E46BB7" w:rsidP="00E46BB7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</w:p>
    <w:p w14:paraId="2DD6D7DF" w14:textId="77777777" w:rsidR="00E46BB7" w:rsidRPr="00FD7E91" w:rsidRDefault="00E46BB7" w:rsidP="00E46BB7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Book Antiqua" w:eastAsia="HelveticaNeueLTPro-Roman" w:hAnsi="Book Antiqua"/>
          <w:b/>
          <w:sz w:val="24"/>
          <w:szCs w:val="24"/>
        </w:rPr>
      </w:pPr>
      <w:r>
        <w:rPr>
          <w:rFonts w:ascii="Book Antiqua" w:eastAsia="HelveticaNeueLTPro-Roman" w:hAnsi="Book Antiqua"/>
          <w:b/>
          <w:sz w:val="24"/>
          <w:szCs w:val="24"/>
        </w:rPr>
        <w:t xml:space="preserve">Opšte odredbe koje se primenjuju za sve vrste kupovina </w:t>
      </w:r>
    </w:p>
    <w:p w14:paraId="2624585C" w14:textId="77777777" w:rsidR="00E46BB7" w:rsidRPr="00FD7E91" w:rsidRDefault="00E46BB7" w:rsidP="00E46BB7">
      <w:pPr>
        <w:pStyle w:val="ListParagraph"/>
        <w:tabs>
          <w:tab w:val="left" w:pos="180"/>
        </w:tabs>
        <w:autoSpaceDE w:val="0"/>
        <w:autoSpaceDN w:val="0"/>
        <w:adjustRightInd w:val="0"/>
        <w:ind w:left="540"/>
        <w:jc w:val="both"/>
        <w:rPr>
          <w:rFonts w:ascii="Book Antiqua" w:eastAsia="HelveticaNeueLTPro-Roman" w:hAnsi="Book Antiqua"/>
          <w:b/>
          <w:sz w:val="24"/>
          <w:szCs w:val="24"/>
        </w:rPr>
      </w:pPr>
    </w:p>
    <w:p w14:paraId="5B5E8CCC" w14:textId="77777777" w:rsidR="00E46BB7" w:rsidRPr="00FD7E91" w:rsidRDefault="00E46BB7" w:rsidP="00E46BB7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 xml:space="preserve">1. </w:t>
      </w:r>
      <w:r>
        <w:rPr>
          <w:rFonts w:ascii="Book Antiqua" w:eastAsia="HelveticaNeueLTPro-Roman" w:hAnsi="Book Antiqua"/>
          <w:sz w:val="24"/>
          <w:szCs w:val="24"/>
        </w:rPr>
        <w:t>Kupovine moraju poštovati investicije koje ispunjuju kriterijume podobnosti utvrđenih u okviru poslovnog plana npr. što se tiče povraćaja investicija, protoka novca itd</w:t>
      </w:r>
      <w:r w:rsidRPr="00FD7E91">
        <w:rPr>
          <w:rFonts w:ascii="Book Antiqua" w:eastAsia="HelveticaNeueLTPro-Roman" w:hAnsi="Book Antiqua"/>
          <w:sz w:val="24"/>
          <w:szCs w:val="24"/>
        </w:rPr>
        <w:t>.;</w:t>
      </w:r>
    </w:p>
    <w:p w14:paraId="554C63F8" w14:textId="77777777" w:rsidR="00E46BB7" w:rsidRPr="00FD7E91" w:rsidRDefault="00E46BB7" w:rsidP="00E46BB7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 xml:space="preserve">2.  </w:t>
      </w:r>
      <w:r>
        <w:rPr>
          <w:rFonts w:ascii="Book Antiqua" w:eastAsia="HelveticaNeueLTPro-Roman" w:hAnsi="Book Antiqua"/>
          <w:sz w:val="24"/>
          <w:szCs w:val="24"/>
        </w:rPr>
        <w:t>Procedure javnih nabavki važe samo za prihvatljive investicije. Za neprihvatljive investicije nisu obavezne procedure za javne nabavke</w:t>
      </w:r>
      <w:r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6EA41694" w14:textId="77777777" w:rsidR="00E46BB7" w:rsidRPr="00FD7E91" w:rsidRDefault="00E46BB7" w:rsidP="00E46BB7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 xml:space="preserve">3. </w:t>
      </w:r>
      <w:r>
        <w:rPr>
          <w:rFonts w:ascii="Book Antiqua" w:eastAsia="HelveticaNeueLTPro-Roman" w:hAnsi="Book Antiqua"/>
          <w:sz w:val="24"/>
          <w:szCs w:val="24"/>
        </w:rPr>
        <w:t>Za ove grantove se primenjuje procedura direktnih kupovina</w:t>
      </w:r>
      <w:r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280324C7" w14:textId="77777777" w:rsidR="00E46BB7" w:rsidRPr="00FD7E91" w:rsidRDefault="00E46BB7" w:rsidP="00E46BB7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 xml:space="preserve">4. </w:t>
      </w:r>
      <w:r>
        <w:rPr>
          <w:rFonts w:ascii="Book Antiqua" w:eastAsia="HelveticaNeueLTPro-Roman" w:hAnsi="Book Antiqua"/>
          <w:sz w:val="24"/>
          <w:szCs w:val="24"/>
        </w:rPr>
        <w:t>Kupovina se može realizovati na osnovu podnete ponude predlogom projekta koji je usvojio MRR, osim u slučajevima iz tačke III ovog vodiča</w:t>
      </w:r>
      <w:r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1BA6A742" w14:textId="77777777" w:rsidR="00E46BB7" w:rsidRPr="00FD7E91" w:rsidRDefault="00E46BB7" w:rsidP="00E46BB7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 xml:space="preserve">5.  </w:t>
      </w:r>
      <w:r>
        <w:rPr>
          <w:rFonts w:ascii="Book Antiqua" w:eastAsia="HelveticaNeueLTPro-Roman" w:hAnsi="Book Antiqua"/>
          <w:sz w:val="24"/>
          <w:szCs w:val="24"/>
        </w:rPr>
        <w:t>Ponuđači ne smeju biti u sukobu interesa sa kupcem</w:t>
      </w:r>
      <w:r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636B54F5" w14:textId="77777777" w:rsidR="00E46BB7" w:rsidRPr="00FD7E91" w:rsidRDefault="00E46BB7" w:rsidP="00E46BB7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27A72DDF" w14:textId="77777777" w:rsidR="00E46BB7" w:rsidRPr="00FD7E91" w:rsidRDefault="00E46BB7" w:rsidP="00E46B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>
        <w:rPr>
          <w:rFonts w:ascii="Book Antiqua" w:eastAsia="MS Mincho" w:hAnsi="Book Antiqua"/>
          <w:b/>
          <w:iCs/>
          <w:sz w:val="24"/>
          <w:szCs w:val="24"/>
        </w:rPr>
        <w:t xml:space="preserve">Definisanje sukoba interesa </w:t>
      </w:r>
    </w:p>
    <w:p w14:paraId="539788F2" w14:textId="77777777" w:rsidR="00E46BB7" w:rsidRPr="00FD7E91" w:rsidRDefault="00E46BB7" w:rsidP="00E46BB7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rFonts w:ascii="Book Antiqua" w:eastAsia="MS Mincho" w:hAnsi="Book Antiqua"/>
          <w:b/>
          <w:iCs/>
          <w:sz w:val="24"/>
          <w:szCs w:val="24"/>
        </w:rPr>
      </w:pPr>
    </w:p>
    <w:p w14:paraId="776D89F2" w14:textId="77777777" w:rsidR="00E46BB7" w:rsidRPr="00FD7E91" w:rsidRDefault="00E46BB7" w:rsidP="00E46BB7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 xml:space="preserve">1. </w:t>
      </w:r>
      <w:r>
        <w:rPr>
          <w:rFonts w:ascii="Book Antiqua" w:eastAsia="HelveticaNeueLTPro-Roman" w:hAnsi="Book Antiqua"/>
          <w:sz w:val="24"/>
          <w:szCs w:val="24"/>
        </w:rPr>
        <w:t>Postojanje veze između korisnika i snabdevača (rodbinske, ili zajednički akcionari u ponuđačkim kompanijama</w:t>
      </w:r>
      <w:r w:rsidRPr="00FD7E91">
        <w:rPr>
          <w:rFonts w:ascii="Book Antiqua" w:eastAsia="HelveticaNeueLTPro-Roman" w:hAnsi="Book Antiqua"/>
          <w:sz w:val="24"/>
          <w:szCs w:val="24"/>
        </w:rPr>
        <w:t>);.</w:t>
      </w:r>
    </w:p>
    <w:p w14:paraId="4052078B" w14:textId="77777777" w:rsidR="00E46BB7" w:rsidRPr="00FD7E91" w:rsidRDefault="00E46BB7" w:rsidP="00E46BB7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 xml:space="preserve">2. </w:t>
      </w:r>
      <w:r>
        <w:rPr>
          <w:rFonts w:ascii="Book Antiqua" w:eastAsia="HelveticaNeueLTPro-Roman" w:hAnsi="Book Antiqua"/>
          <w:sz w:val="24"/>
          <w:szCs w:val="24"/>
        </w:rPr>
        <w:t>Zajedničko vlasništvo (kao pojedinac ili kao akcionar) među snabdevačima koji podnose ponude</w:t>
      </w:r>
      <w:r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25F83870" w14:textId="77777777" w:rsidR="00E46BB7" w:rsidRPr="00FD7E91" w:rsidRDefault="00E46BB7" w:rsidP="00E46BB7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3E99EB77" w14:textId="77777777" w:rsidR="00E46BB7" w:rsidRPr="00FD7E91" w:rsidRDefault="00E46BB7" w:rsidP="00E46B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>
        <w:rPr>
          <w:rFonts w:ascii="Book Antiqua" w:eastAsia="HelveticaNeueLTPro-Roman" w:hAnsi="Book Antiqua"/>
          <w:b/>
          <w:sz w:val="24"/>
          <w:szCs w:val="24"/>
        </w:rPr>
        <w:t xml:space="preserve">Promena ponuđača/projekta </w:t>
      </w:r>
    </w:p>
    <w:p w14:paraId="31EB18B6" w14:textId="77777777" w:rsidR="00E46BB7" w:rsidRPr="00FD7E91" w:rsidRDefault="00E46BB7" w:rsidP="00E46BB7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rFonts w:ascii="Book Antiqua" w:eastAsia="HelveticaNeueLTPro-Roman" w:hAnsi="Book Antiqua"/>
          <w:b/>
          <w:sz w:val="24"/>
          <w:szCs w:val="24"/>
        </w:rPr>
      </w:pPr>
    </w:p>
    <w:p w14:paraId="231FC7D9" w14:textId="77777777" w:rsidR="00E46BB7" w:rsidRPr="00FD7E91" w:rsidRDefault="00E46BB7" w:rsidP="00E46B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Promena ponuđača/projekta može se uraditi samo posebnim zahtevom u MRR, ako nema promene koncepta projekta i ako se ne menja vrednost granta MRR-a</w:t>
      </w:r>
      <w:r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01EA8E17" w14:textId="3903AC01" w:rsidR="00697901" w:rsidRDefault="00E46BB7" w:rsidP="00E46BB7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U slučajevima kada imamo ponuđače po višim cenama od onih iznetih u projektu, onda promene cena su obaveza korisnika i ni u kom slučaju se ne menja vrednost granta od strane MRR-a. Eventualne promene u vrednosti</w:t>
      </w:r>
      <w:r w:rsidR="0069790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697901">
        <w:rPr>
          <w:rFonts w:ascii="Book Antiqua" w:eastAsia="HelveticaNeueLTPro-Roman" w:hAnsi="Book Antiqua"/>
          <w:sz w:val="24"/>
          <w:szCs w:val="24"/>
        </w:rPr>
        <w:t xml:space="preserve">moraju biti u okviru dozvoljenog </w:t>
      </w:r>
      <w:r w:rsidR="00697901" w:rsidRPr="00FD7E91">
        <w:rPr>
          <w:rFonts w:ascii="Book Antiqua" w:eastAsia="HelveticaNeueLTPro-Roman" w:hAnsi="Book Antiqua"/>
          <w:sz w:val="24"/>
          <w:szCs w:val="24"/>
        </w:rPr>
        <w:t xml:space="preserve">min. </w:t>
      </w:r>
      <w:r w:rsidR="00697901">
        <w:rPr>
          <w:rFonts w:ascii="Book Antiqua" w:eastAsia="HelveticaNeueLTPro-Roman" w:hAnsi="Book Antiqua"/>
          <w:sz w:val="24"/>
          <w:szCs w:val="24"/>
        </w:rPr>
        <w:t>i</w:t>
      </w:r>
      <w:r w:rsidR="00697901" w:rsidRPr="00FD7E91">
        <w:rPr>
          <w:rFonts w:ascii="Book Antiqua" w:eastAsia="HelveticaNeueLTPro-Roman" w:hAnsi="Book Antiqua"/>
          <w:sz w:val="24"/>
          <w:szCs w:val="24"/>
        </w:rPr>
        <w:t xml:space="preserve"> max. </w:t>
      </w:r>
      <w:r w:rsidR="00697901">
        <w:rPr>
          <w:rFonts w:ascii="Book Antiqua" w:eastAsia="HelveticaNeueLTPro-Roman" w:hAnsi="Book Antiqua"/>
          <w:sz w:val="24"/>
          <w:szCs w:val="24"/>
        </w:rPr>
        <w:t xml:space="preserve">za </w:t>
      </w:r>
      <w:r w:rsidR="00697901">
        <w:rPr>
          <w:rFonts w:ascii="Book Antiqua" w:eastAsia="HelveticaNeueLTPro-Roman" w:hAnsi="Book Antiqua"/>
          <w:sz w:val="24"/>
          <w:szCs w:val="24"/>
        </w:rPr>
        <w:lastRenderedPageBreak/>
        <w:t xml:space="preserve">sufinansiranje </w:t>
      </w:r>
      <w:r w:rsidR="00697901" w:rsidRPr="00FD7E91">
        <w:rPr>
          <w:rFonts w:ascii="Book Antiqua" w:eastAsia="HelveticaNeueLTPro-Roman" w:hAnsi="Book Antiqua"/>
          <w:sz w:val="24"/>
          <w:szCs w:val="24"/>
        </w:rPr>
        <w:t xml:space="preserve">10-40 % </w:t>
      </w:r>
      <w:r w:rsidR="00697901">
        <w:rPr>
          <w:rFonts w:ascii="Book Antiqua" w:eastAsia="HelveticaNeueLTPro-Roman" w:hAnsi="Book Antiqua"/>
          <w:sz w:val="24"/>
          <w:szCs w:val="24"/>
        </w:rPr>
        <w:t>vrednosti projekta</w:t>
      </w:r>
      <w:r w:rsidR="00697901" w:rsidRPr="00FD7E91">
        <w:rPr>
          <w:rFonts w:ascii="Book Antiqua" w:eastAsia="HelveticaNeueLTPro-Roman" w:hAnsi="Book Antiqua"/>
          <w:sz w:val="24"/>
          <w:szCs w:val="24"/>
        </w:rPr>
        <w:t xml:space="preserve"> (</w:t>
      </w:r>
      <w:r w:rsidR="00697901">
        <w:rPr>
          <w:rFonts w:ascii="Book Antiqua" w:eastAsia="HelveticaNeueLTPro-Roman" w:hAnsi="Book Antiqua"/>
          <w:i/>
          <w:sz w:val="24"/>
          <w:szCs w:val="24"/>
        </w:rPr>
        <w:t xml:space="preserve">To podrazumeva slučajeve ako postoji sufinansiranje </w:t>
      </w:r>
      <w:r w:rsidR="00697901" w:rsidRPr="00FD7E91">
        <w:rPr>
          <w:rFonts w:ascii="Book Antiqua" w:eastAsia="HelveticaNeueLTPro-Roman" w:hAnsi="Book Antiqua"/>
          <w:i/>
          <w:sz w:val="24"/>
          <w:szCs w:val="24"/>
        </w:rPr>
        <w:t xml:space="preserve">max. 40% </w:t>
      </w:r>
      <w:r w:rsidR="00697901">
        <w:rPr>
          <w:rFonts w:ascii="Book Antiqua" w:eastAsia="HelveticaNeueLTPro-Roman" w:hAnsi="Book Antiqua"/>
          <w:i/>
          <w:sz w:val="24"/>
          <w:szCs w:val="24"/>
        </w:rPr>
        <w:t>ne može doći do povećanja vrednosti projekta</w:t>
      </w:r>
      <w:r w:rsidR="00697901" w:rsidRPr="00FD7E91">
        <w:rPr>
          <w:rFonts w:ascii="Book Antiqua" w:eastAsia="HelveticaNeueLTPro-Roman" w:hAnsi="Book Antiqua"/>
          <w:sz w:val="24"/>
          <w:szCs w:val="24"/>
        </w:rPr>
        <w:t>).</w:t>
      </w:r>
    </w:p>
    <w:p w14:paraId="5CEA74A2" w14:textId="77777777" w:rsidR="00697901" w:rsidRDefault="00697901" w:rsidP="00E46BB7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3A1CD268" w14:textId="77777777" w:rsidR="0011315E" w:rsidRPr="00FD7E91" w:rsidRDefault="00E46BB7" w:rsidP="0011315E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7EC0B4AC" w14:textId="77777777" w:rsidR="0011315E" w:rsidRPr="00FD7E91" w:rsidRDefault="0011315E" w:rsidP="0011315E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0BB8161" w14:textId="77777777" w:rsidR="0011315E" w:rsidRPr="00FD7E91" w:rsidRDefault="0011315E" w:rsidP="0011315E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>Prilog</w:t>
      </w:r>
      <w:r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1: </w:t>
      </w: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Izjava o izbegavanju sukoba interesa </w:t>
      </w:r>
      <w:r w:rsidRPr="00FD7E91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(</w:t>
      </w:r>
      <w:r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popunjava korisnik projekta</w:t>
      </w:r>
    </w:p>
    <w:p w14:paraId="7F7395A2" w14:textId="41E022F8" w:rsidR="001F5B88" w:rsidRPr="000E6263" w:rsidRDefault="001F5B88" w:rsidP="00E46BB7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10405852" w14:textId="77777777" w:rsidR="00283453" w:rsidRPr="00283453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0F890DFF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16EC8EEB" w14:textId="77777777" w:rsidR="0011315E" w:rsidRPr="00FD7E91" w:rsidRDefault="0011315E" w:rsidP="0011315E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Ja, dole potpisani</w:t>
      </w:r>
      <w:r w:rsidRPr="00FD7E91">
        <w:rPr>
          <w:rFonts w:ascii="Book Antiqua" w:eastAsia="Arial" w:hAnsi="Book Antiqua"/>
          <w:sz w:val="24"/>
          <w:szCs w:val="24"/>
        </w:rPr>
        <w:t xml:space="preserve"> </w:t>
      </w:r>
      <w:r w:rsidRPr="0011315E">
        <w:rPr>
          <w:rFonts w:ascii="Book Antiqua" w:eastAsia="Arial" w:hAnsi="Book Antiqua"/>
          <w:sz w:val="24"/>
          <w:szCs w:val="24"/>
          <w:highlight w:val="yellow"/>
        </w:rPr>
        <w:t>..................................................................,</w:t>
      </w:r>
      <w:r w:rsidRPr="00FD7E91">
        <w:rPr>
          <w:rFonts w:ascii="Book Antiqua" w:eastAsia="Arial" w:hAnsi="Book Antiqua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kao pravni zastupnik projekta, izjavljujem pod sankcionisanjem važećim zakonima na Kosovu, da poštujem sva pravila utvrđena u nastavku</w:t>
      </w:r>
      <w:r w:rsidRPr="00FD7E91">
        <w:rPr>
          <w:rFonts w:ascii="Book Antiqua" w:eastAsia="Arial" w:hAnsi="Book Antiqua"/>
          <w:w w:val="102"/>
          <w:sz w:val="24"/>
          <w:szCs w:val="24"/>
        </w:rPr>
        <w:t>:</w:t>
      </w:r>
    </w:p>
    <w:p w14:paraId="0C338891" w14:textId="77777777" w:rsidR="0011315E" w:rsidRPr="00FD7E91" w:rsidRDefault="0011315E" w:rsidP="0011315E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300AE92F" w14:textId="77777777" w:rsidR="0011315E" w:rsidRPr="00FD7E91" w:rsidRDefault="0011315E" w:rsidP="0011315E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Ne postoje veze (rodbinske, ili zajednički akcionari za svaku kompaniju) između korisnika (ili partnera korisnika) i ponuđača (ili partnera ponuđača), koji podnose ponude</w:t>
      </w:r>
      <w:r w:rsidRPr="00FD7E91">
        <w:rPr>
          <w:rFonts w:ascii="Book Antiqua" w:eastAsia="Arial" w:hAnsi="Book Antiqua"/>
          <w:w w:val="101"/>
          <w:sz w:val="24"/>
          <w:szCs w:val="24"/>
        </w:rPr>
        <w:t>;</w:t>
      </w:r>
    </w:p>
    <w:p w14:paraId="2DA086FE" w14:textId="77777777" w:rsidR="0011315E" w:rsidRPr="00FD7E91" w:rsidRDefault="0011315E" w:rsidP="0011315E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2678CBA" w14:textId="77777777" w:rsidR="0011315E" w:rsidRPr="00FD7E91" w:rsidRDefault="0011315E" w:rsidP="0011315E">
      <w:pPr>
        <w:spacing w:line="246" w:lineRule="auto"/>
        <w:ind w:right="40"/>
        <w:jc w:val="both"/>
        <w:rPr>
          <w:rFonts w:ascii="Book Antiqua" w:eastAsia="Arial" w:hAnsi="Book Antiqua"/>
          <w:w w:val="101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Ne postoji zajedničko vlasništvo (kao pojedinac ili kao akcionar) među ponuđačima od kog sam dobio ponudu</w:t>
      </w:r>
      <w:r w:rsidRPr="00FD7E91">
        <w:rPr>
          <w:rFonts w:ascii="Book Antiqua" w:eastAsia="Arial" w:hAnsi="Book Antiqua"/>
          <w:w w:val="101"/>
          <w:sz w:val="24"/>
          <w:szCs w:val="24"/>
        </w:rPr>
        <w:t>.</w:t>
      </w:r>
    </w:p>
    <w:p w14:paraId="16CB89DA" w14:textId="77777777" w:rsidR="0011315E" w:rsidRPr="00FD7E91" w:rsidRDefault="0011315E" w:rsidP="0011315E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01302BC2" w14:textId="77777777" w:rsidR="002B3E11" w:rsidRDefault="002B3E11" w:rsidP="0011315E">
      <w:pPr>
        <w:spacing w:line="354" w:lineRule="auto"/>
        <w:ind w:right="40"/>
        <w:rPr>
          <w:rFonts w:ascii="Book Antiqua" w:eastAsia="Arial" w:hAnsi="Book Antiqua"/>
          <w:sz w:val="24"/>
          <w:szCs w:val="24"/>
        </w:rPr>
      </w:pPr>
    </w:p>
    <w:p w14:paraId="2B443CFD" w14:textId="73E47692" w:rsidR="0011315E" w:rsidRPr="00FD7E91" w:rsidRDefault="0011315E" w:rsidP="0011315E">
      <w:pPr>
        <w:spacing w:line="354" w:lineRule="auto"/>
        <w:ind w:right="40"/>
        <w:jc w:val="center"/>
        <w:rPr>
          <w:rFonts w:ascii="Book Antiqua" w:eastAsia="Arial" w:hAnsi="Book Antiqua"/>
          <w:w w:val="102"/>
          <w:sz w:val="24"/>
          <w:szCs w:val="24"/>
        </w:rPr>
      </w:pPr>
      <w:r w:rsidRPr="0011315E">
        <w:rPr>
          <w:rFonts w:ascii="Book Antiqua" w:eastAsia="Arial" w:hAnsi="Book Antiqua"/>
          <w:sz w:val="24"/>
          <w:szCs w:val="24"/>
          <w:highlight w:val="yellow"/>
        </w:rPr>
        <w:t>&lt;Ime i prezime pravnog zastupnika ekonomskog operatera</w:t>
      </w:r>
      <w:r w:rsidRPr="0011315E">
        <w:rPr>
          <w:rFonts w:ascii="Book Antiqua" w:eastAsia="Arial" w:hAnsi="Book Antiqua"/>
          <w:w w:val="102"/>
          <w:sz w:val="24"/>
          <w:szCs w:val="24"/>
          <w:highlight w:val="yellow"/>
        </w:rPr>
        <w:t>&gt;</w:t>
      </w:r>
    </w:p>
    <w:p w14:paraId="0E5AFFF5" w14:textId="77777777" w:rsidR="00D44589" w:rsidRDefault="00D44589" w:rsidP="00D44589">
      <w:pPr>
        <w:ind w:right="40"/>
        <w:rPr>
          <w:rFonts w:ascii="Book Antiqua" w:eastAsia="Arial" w:hAnsi="Book Antiqua"/>
          <w:w w:val="102"/>
          <w:sz w:val="24"/>
          <w:szCs w:val="24"/>
        </w:rPr>
      </w:pPr>
    </w:p>
    <w:p w14:paraId="541A108D" w14:textId="77777777" w:rsidR="002B3E11" w:rsidRDefault="002B3E11" w:rsidP="00D44589">
      <w:pPr>
        <w:ind w:right="40"/>
        <w:rPr>
          <w:rFonts w:ascii="Book Antiqua" w:eastAsia="Arial" w:hAnsi="Book Antiqua"/>
          <w:w w:val="102"/>
          <w:sz w:val="24"/>
          <w:szCs w:val="24"/>
        </w:rPr>
      </w:pPr>
    </w:p>
    <w:p w14:paraId="06F9D40F" w14:textId="77777777" w:rsidR="002B3E11" w:rsidRDefault="002B3E11" w:rsidP="00D44589">
      <w:pPr>
        <w:ind w:right="40"/>
        <w:rPr>
          <w:rFonts w:ascii="Book Antiqua" w:eastAsia="Arial" w:hAnsi="Book Antiqua"/>
          <w:w w:val="102"/>
          <w:sz w:val="24"/>
          <w:szCs w:val="24"/>
        </w:rPr>
      </w:pPr>
    </w:p>
    <w:p w14:paraId="7666D998" w14:textId="3E4C1B52" w:rsidR="0011315E" w:rsidRPr="00FD7E91" w:rsidRDefault="0011315E" w:rsidP="0011315E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2F291D">
        <w:rPr>
          <w:rFonts w:ascii="Book Antiqua" w:eastAsia="Arial" w:hAnsi="Book Antiqua"/>
          <w:w w:val="102"/>
          <w:sz w:val="24"/>
          <w:szCs w:val="24"/>
          <w:highlight w:val="yellow"/>
        </w:rPr>
        <w:t>Mesto</w:t>
      </w:r>
      <w:r>
        <w:rPr>
          <w:rFonts w:ascii="Book Antiqua" w:eastAsia="Arial" w:hAnsi="Book Antiqua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Book Antiqua" w:eastAsia="Arial" w:hAnsi="Book Antiqua"/>
          <w:sz w:val="24"/>
          <w:szCs w:val="24"/>
        </w:rPr>
        <w:t>Potpis</w:t>
      </w:r>
    </w:p>
    <w:p w14:paraId="3CD16F51" w14:textId="62B68CD6" w:rsidR="002B3E11" w:rsidRDefault="002B3E11" w:rsidP="00D44589">
      <w:pPr>
        <w:ind w:right="40"/>
        <w:rPr>
          <w:rFonts w:ascii="Book Antiqua" w:eastAsia="Arial" w:hAnsi="Book Antiqua"/>
          <w:w w:val="102"/>
          <w:sz w:val="24"/>
          <w:szCs w:val="24"/>
        </w:rPr>
      </w:pPr>
    </w:p>
    <w:p w14:paraId="49A84B3F" w14:textId="283733AD" w:rsidR="00D44589" w:rsidRPr="00753A22" w:rsidRDefault="0011315E" w:rsidP="00D44589">
      <w:pPr>
        <w:ind w:right="40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w w:val="102"/>
          <w:sz w:val="24"/>
          <w:szCs w:val="24"/>
          <w:highlight w:val="yellow"/>
        </w:rPr>
        <w:t>Datum</w:t>
      </w:r>
      <w:r w:rsidR="00D44589" w:rsidRPr="002B3E11">
        <w:rPr>
          <w:rFonts w:ascii="Book Antiqua" w:eastAsia="Arial" w:hAnsi="Book Antiqua"/>
          <w:w w:val="102"/>
          <w:sz w:val="24"/>
          <w:szCs w:val="24"/>
          <w:highlight w:val="yellow"/>
        </w:rPr>
        <w:t>______________</w:t>
      </w:r>
      <w:r w:rsidR="00D44589">
        <w:rPr>
          <w:rFonts w:ascii="Book Antiqua" w:eastAsia="Arial" w:hAnsi="Book Antiqua"/>
          <w:w w:val="102"/>
          <w:sz w:val="24"/>
          <w:szCs w:val="24"/>
        </w:rPr>
        <w:t xml:space="preserve">_                                                     </w:t>
      </w:r>
      <w:r w:rsidR="002B3E11">
        <w:rPr>
          <w:rFonts w:ascii="Book Antiqua" w:eastAsia="Arial" w:hAnsi="Book Antiqua"/>
          <w:w w:val="102"/>
          <w:sz w:val="24"/>
          <w:szCs w:val="24"/>
        </w:rPr>
        <w:t xml:space="preserve">   </w:t>
      </w:r>
      <w:r w:rsidR="00D44589">
        <w:rPr>
          <w:rFonts w:ascii="Book Antiqua" w:eastAsia="Arial" w:hAnsi="Book Antiqua"/>
          <w:w w:val="102"/>
          <w:sz w:val="24"/>
          <w:szCs w:val="24"/>
        </w:rPr>
        <w:t xml:space="preserve">  _________________________</w:t>
      </w:r>
    </w:p>
    <w:p w14:paraId="585B7B0A" w14:textId="77777777" w:rsidR="001F5B88" w:rsidRPr="00753A22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488C0F97" w14:textId="77777777" w:rsidR="001F5B88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403EEF58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970D47E" w14:textId="77777777"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894B13B" w14:textId="77777777"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B5FD48A" w14:textId="77777777"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6697D23" w14:textId="77777777"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F27ABD" w14:textId="77777777"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C5B6206" w14:textId="77777777"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8CC7751" w14:textId="77777777"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70A3113" w14:textId="77777777"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D0966CB" w14:textId="77777777"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CB938C4" w14:textId="77777777"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8C36177" w14:textId="77777777"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A7ED6CA" w14:textId="77777777"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F02E4F1" w14:textId="77777777"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D15B810" w14:textId="77777777"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542EE5D" w14:textId="77777777"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3BF5A99" w14:textId="77777777"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F03803D" w14:textId="77777777"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45B8A22" w14:textId="77777777"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6CF42CB" w14:textId="77777777"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8425D1C" w14:textId="77777777"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4FABC48" w14:textId="77777777"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2161070" w14:textId="77777777"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3818350" w14:textId="77777777"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A9759C0" w14:textId="77777777" w:rsidR="00131605" w:rsidRDefault="00131605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B5ACB60" w14:textId="77777777" w:rsidR="00131605" w:rsidRDefault="00131605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5391DA9" w14:textId="77777777" w:rsidR="00116767" w:rsidRDefault="00116767" w:rsidP="00283453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71B7CB28" w14:textId="77777777" w:rsidR="003742D7" w:rsidRPr="007522FD" w:rsidRDefault="003742D7" w:rsidP="003742D7">
      <w:pPr>
        <w:autoSpaceDE w:val="0"/>
        <w:autoSpaceDN w:val="0"/>
        <w:adjustRightInd w:val="0"/>
        <w:jc w:val="both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  <w:r w:rsidRPr="007522FD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Dodatak 2: Smernice u vezi sa kriterijumima plaćanja unapred za subvencije iz MDR-a za:</w:t>
      </w:r>
    </w:p>
    <w:p w14:paraId="32F9A2FC" w14:textId="77777777" w:rsidR="003742D7" w:rsidRPr="007522FD" w:rsidRDefault="003742D7" w:rsidP="003742D7">
      <w:pPr>
        <w:autoSpaceDE w:val="0"/>
        <w:autoSpaceDN w:val="0"/>
        <w:adjustRightInd w:val="0"/>
        <w:jc w:val="both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2DEE754A" w14:textId="3834127E" w:rsidR="003742D7" w:rsidRPr="007522FD" w:rsidRDefault="003742D7" w:rsidP="003742D7">
      <w:pPr>
        <w:autoSpaceDE w:val="0"/>
        <w:autoSpaceDN w:val="0"/>
        <w:adjustRightInd w:val="0"/>
        <w:jc w:val="both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  <w:r w:rsidRPr="007522FD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Lot 1 (</w:t>
      </w:r>
      <w:r w:rsidR="009C2951" w:rsidRPr="007522FD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Start-up</w:t>
      </w:r>
      <w:r w:rsidRPr="007522FD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)</w:t>
      </w:r>
    </w:p>
    <w:p w14:paraId="4DE834E9" w14:textId="18D7BA7F" w:rsidR="003742D7" w:rsidRPr="007522FD" w:rsidRDefault="003742D7" w:rsidP="003742D7">
      <w:pPr>
        <w:autoSpaceDE w:val="0"/>
        <w:autoSpaceDN w:val="0"/>
        <w:adjustRightInd w:val="0"/>
        <w:jc w:val="both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  <w:r w:rsidRPr="007522FD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Lot</w:t>
      </w:r>
      <w:r w:rsidRPr="007522FD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1 (postojeći</w:t>
      </w:r>
      <w:r w:rsidRPr="007522FD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biznisi</w:t>
      </w:r>
      <w:r w:rsidRPr="007522FD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) i</w:t>
      </w:r>
    </w:p>
    <w:p w14:paraId="70B35315" w14:textId="4056D882" w:rsidR="00122821" w:rsidRPr="007522FD" w:rsidRDefault="003742D7" w:rsidP="003742D7">
      <w:pPr>
        <w:autoSpaceDE w:val="0"/>
        <w:autoSpaceDN w:val="0"/>
        <w:adjustRightInd w:val="0"/>
        <w:jc w:val="both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  <w:r w:rsidRPr="007522FD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Lot</w:t>
      </w:r>
      <w:r w:rsidRPr="007522FD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2 (postojeći </w:t>
      </w:r>
      <w:r w:rsidRPr="007522FD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biznisi</w:t>
      </w:r>
      <w:r w:rsidRPr="007522FD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)</w:t>
      </w:r>
    </w:p>
    <w:p w14:paraId="3E550D31" w14:textId="77777777" w:rsidR="003742D7" w:rsidRPr="002F464F" w:rsidRDefault="003742D7" w:rsidP="003742D7">
      <w:pPr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</w:p>
    <w:p w14:paraId="47DE573A" w14:textId="77777777" w:rsidR="00472A5B" w:rsidRPr="00472A5B" w:rsidRDefault="00472A5B" w:rsidP="00472A5B">
      <w:pPr>
        <w:rPr>
          <w:rFonts w:ascii="Book Antiqua" w:hAnsi="Book Antiqua"/>
          <w:sz w:val="22"/>
          <w:szCs w:val="22"/>
        </w:rPr>
      </w:pPr>
      <w:r w:rsidRPr="00472A5B">
        <w:rPr>
          <w:rFonts w:ascii="Book Antiqua" w:hAnsi="Book Antiqua"/>
          <w:sz w:val="22"/>
          <w:szCs w:val="22"/>
        </w:rPr>
        <w:t>Spisak dokumenata potrebnih za izvršenje uplate (prve rate) projekta po Grant šemi:</w:t>
      </w:r>
    </w:p>
    <w:p w14:paraId="37C52D67" w14:textId="77777777" w:rsidR="00472A5B" w:rsidRPr="00472A5B" w:rsidRDefault="00472A5B" w:rsidP="00472A5B">
      <w:pPr>
        <w:rPr>
          <w:rFonts w:ascii="Book Antiqua" w:hAnsi="Book Antiqua"/>
          <w:sz w:val="22"/>
          <w:szCs w:val="22"/>
        </w:rPr>
      </w:pPr>
    </w:p>
    <w:p w14:paraId="226BA063" w14:textId="77777777" w:rsidR="00472A5B" w:rsidRPr="00DE78E2" w:rsidRDefault="00472A5B" w:rsidP="00472A5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E78E2">
        <w:rPr>
          <w:rFonts w:ascii="Book Antiqua" w:hAnsi="Book Antiqua"/>
          <w:b/>
          <w:bCs/>
          <w:sz w:val="24"/>
          <w:szCs w:val="24"/>
        </w:rPr>
        <w:t>„PROGRAM BALANSIRANOG REGIONALNOG RAZVOJA“ PŽRB 2022</w:t>
      </w:r>
    </w:p>
    <w:p w14:paraId="15F4B2E2" w14:textId="77777777" w:rsidR="00472A5B" w:rsidRPr="00DE78E2" w:rsidRDefault="00472A5B" w:rsidP="00472A5B">
      <w:pPr>
        <w:rPr>
          <w:rFonts w:ascii="Book Antiqua" w:hAnsi="Book Antiqua"/>
          <w:sz w:val="24"/>
          <w:szCs w:val="24"/>
        </w:rPr>
      </w:pPr>
    </w:p>
    <w:p w14:paraId="677F556D" w14:textId="77777777" w:rsidR="00472A5B" w:rsidRPr="00DE78E2" w:rsidRDefault="00472A5B" w:rsidP="00472A5B">
      <w:pPr>
        <w:rPr>
          <w:rFonts w:ascii="Book Antiqua" w:hAnsi="Book Antiqua"/>
          <w:b/>
          <w:bCs/>
          <w:sz w:val="24"/>
          <w:szCs w:val="24"/>
        </w:rPr>
      </w:pPr>
      <w:r w:rsidRPr="00DE78E2">
        <w:rPr>
          <w:rFonts w:ascii="Book Antiqua" w:hAnsi="Book Antiqua"/>
          <w:b/>
          <w:bCs/>
          <w:sz w:val="24"/>
          <w:szCs w:val="24"/>
        </w:rPr>
        <w:t>I. Dokumenti koje korisnik treba da dostavi:</w:t>
      </w:r>
    </w:p>
    <w:p w14:paraId="1AFD21D3" w14:textId="77777777" w:rsidR="00472A5B" w:rsidRPr="00472A5B" w:rsidRDefault="00472A5B" w:rsidP="00472A5B">
      <w:pPr>
        <w:rPr>
          <w:rFonts w:ascii="Book Antiqua" w:hAnsi="Book Antiqua"/>
          <w:sz w:val="22"/>
          <w:szCs w:val="22"/>
        </w:rPr>
      </w:pPr>
    </w:p>
    <w:p w14:paraId="7C074C5A" w14:textId="002E33B3" w:rsidR="00472A5B" w:rsidRPr="00472A5B" w:rsidRDefault="00472A5B" w:rsidP="00472A5B">
      <w:pPr>
        <w:rPr>
          <w:rFonts w:ascii="Book Antiqua" w:hAnsi="Book Antiqua"/>
          <w:sz w:val="22"/>
          <w:szCs w:val="22"/>
        </w:rPr>
      </w:pPr>
      <w:r w:rsidRPr="00472A5B">
        <w:rPr>
          <w:rFonts w:ascii="Book Antiqua" w:hAnsi="Book Antiqua"/>
          <w:sz w:val="22"/>
          <w:szCs w:val="22"/>
        </w:rPr>
        <w:t>1. Zahtev za plaćanje po M</w:t>
      </w:r>
      <w:r w:rsidR="005F0A44">
        <w:rPr>
          <w:rFonts w:ascii="Book Antiqua" w:hAnsi="Book Antiqua"/>
          <w:sz w:val="22"/>
          <w:szCs w:val="22"/>
        </w:rPr>
        <w:t>R</w:t>
      </w:r>
      <w:r w:rsidRPr="00472A5B">
        <w:rPr>
          <w:rFonts w:ascii="Book Antiqua" w:hAnsi="Book Antiqua"/>
          <w:sz w:val="22"/>
          <w:szCs w:val="22"/>
        </w:rPr>
        <w:t>R formatu;</w:t>
      </w:r>
    </w:p>
    <w:p w14:paraId="3F091B72" w14:textId="7BE8B806" w:rsidR="00472A5B" w:rsidRPr="00472A5B" w:rsidRDefault="00472A5B" w:rsidP="00472A5B">
      <w:pPr>
        <w:rPr>
          <w:rFonts w:ascii="Book Antiqua" w:hAnsi="Book Antiqua"/>
          <w:sz w:val="22"/>
          <w:szCs w:val="22"/>
        </w:rPr>
      </w:pPr>
      <w:r w:rsidRPr="00472A5B">
        <w:rPr>
          <w:rFonts w:ascii="Book Antiqua" w:hAnsi="Book Antiqua"/>
          <w:sz w:val="22"/>
          <w:szCs w:val="22"/>
        </w:rPr>
        <w:t>2. Račun za uplatu avansa prema formatu M</w:t>
      </w:r>
      <w:r w:rsidR="00DB200D">
        <w:rPr>
          <w:rFonts w:ascii="Book Antiqua" w:hAnsi="Book Antiqua"/>
          <w:sz w:val="22"/>
          <w:szCs w:val="22"/>
        </w:rPr>
        <w:t>R</w:t>
      </w:r>
      <w:r w:rsidRPr="00472A5B">
        <w:rPr>
          <w:rFonts w:ascii="Book Antiqua" w:hAnsi="Book Antiqua"/>
          <w:sz w:val="22"/>
          <w:szCs w:val="22"/>
        </w:rPr>
        <w:t>R;</w:t>
      </w:r>
    </w:p>
    <w:p w14:paraId="5B6EBCE7" w14:textId="77777777" w:rsidR="00472A5B" w:rsidRPr="00472A5B" w:rsidRDefault="00472A5B" w:rsidP="00472A5B">
      <w:pPr>
        <w:rPr>
          <w:rFonts w:ascii="Book Antiqua" w:hAnsi="Book Antiqua"/>
          <w:sz w:val="22"/>
          <w:szCs w:val="22"/>
        </w:rPr>
      </w:pPr>
      <w:r w:rsidRPr="00472A5B">
        <w:rPr>
          <w:rFonts w:ascii="Book Antiqua" w:hAnsi="Book Antiqua"/>
          <w:sz w:val="22"/>
          <w:szCs w:val="22"/>
        </w:rPr>
        <w:t>3. Dokaz banke da poseduje iznos sredstava za sufinansiranje potpisan i overen od strane banke (Original);</w:t>
      </w:r>
    </w:p>
    <w:p w14:paraId="4251D79D" w14:textId="77777777" w:rsidR="00472A5B" w:rsidRPr="00472A5B" w:rsidRDefault="00472A5B" w:rsidP="00472A5B">
      <w:pPr>
        <w:rPr>
          <w:rFonts w:ascii="Book Antiqua" w:hAnsi="Book Antiqua"/>
          <w:sz w:val="22"/>
          <w:szCs w:val="22"/>
        </w:rPr>
      </w:pPr>
      <w:r w:rsidRPr="00472A5B">
        <w:rPr>
          <w:rFonts w:ascii="Book Antiqua" w:hAnsi="Book Antiqua"/>
          <w:sz w:val="22"/>
          <w:szCs w:val="22"/>
        </w:rPr>
        <w:t>4. Verifikacija/dokaz bankovnog računa na ime preduzeća korisnika prema ARBK (ne u trgovačkom imenu).</w:t>
      </w:r>
    </w:p>
    <w:p w14:paraId="58C978E0" w14:textId="08F7445C" w:rsidR="00472A5B" w:rsidRPr="00472A5B" w:rsidRDefault="00472A5B" w:rsidP="00472A5B">
      <w:pPr>
        <w:rPr>
          <w:rFonts w:ascii="Book Antiqua" w:hAnsi="Book Antiqua"/>
          <w:sz w:val="22"/>
          <w:szCs w:val="22"/>
        </w:rPr>
      </w:pPr>
      <w:r w:rsidRPr="00472A5B">
        <w:rPr>
          <w:rFonts w:ascii="Book Antiqua" w:hAnsi="Book Antiqua"/>
          <w:sz w:val="22"/>
          <w:szCs w:val="22"/>
        </w:rPr>
        <w:t>5. Predujam garancije banke ili garancije osiguravajućeg društva u iznosu prve rate (avansa) u iznosu od 50% za Lot 1 (</w:t>
      </w:r>
      <w:r w:rsidR="00F6377D">
        <w:rPr>
          <w:rFonts w:ascii="Book Antiqua" w:hAnsi="Book Antiqua"/>
          <w:sz w:val="22"/>
          <w:szCs w:val="22"/>
        </w:rPr>
        <w:t>Start Up</w:t>
      </w:r>
      <w:r w:rsidRPr="00472A5B">
        <w:rPr>
          <w:rFonts w:ascii="Book Antiqua" w:hAnsi="Book Antiqua"/>
          <w:sz w:val="22"/>
          <w:szCs w:val="22"/>
        </w:rPr>
        <w:t xml:space="preserve">), Lot 1 (postojeći </w:t>
      </w:r>
      <w:r w:rsidR="00F6377D">
        <w:rPr>
          <w:rFonts w:ascii="Book Antiqua" w:hAnsi="Book Antiqua"/>
          <w:sz w:val="22"/>
          <w:szCs w:val="22"/>
        </w:rPr>
        <w:t>biznisi</w:t>
      </w:r>
      <w:r w:rsidRPr="00472A5B">
        <w:rPr>
          <w:rFonts w:ascii="Book Antiqua" w:hAnsi="Book Antiqua"/>
          <w:sz w:val="22"/>
          <w:szCs w:val="22"/>
        </w:rPr>
        <w:t xml:space="preserve">) i Lot 2 (postojeći </w:t>
      </w:r>
      <w:r w:rsidR="00F6377D">
        <w:rPr>
          <w:rFonts w:ascii="Book Antiqua" w:hAnsi="Book Antiqua"/>
          <w:sz w:val="22"/>
          <w:szCs w:val="22"/>
        </w:rPr>
        <w:t>biznis</w:t>
      </w:r>
      <w:r w:rsidRPr="00472A5B">
        <w:rPr>
          <w:rFonts w:ascii="Book Antiqua" w:hAnsi="Book Antiqua"/>
          <w:sz w:val="22"/>
          <w:szCs w:val="22"/>
        </w:rPr>
        <w:t>i) granta finansiranog od strane M</w:t>
      </w:r>
      <w:r w:rsidR="00DB200D">
        <w:rPr>
          <w:rFonts w:ascii="Book Antiqua" w:hAnsi="Book Antiqua"/>
          <w:sz w:val="22"/>
          <w:szCs w:val="22"/>
        </w:rPr>
        <w:t>R</w:t>
      </w:r>
      <w:r w:rsidRPr="00472A5B">
        <w:rPr>
          <w:rFonts w:ascii="Book Antiqua" w:hAnsi="Book Antiqua"/>
          <w:sz w:val="22"/>
          <w:szCs w:val="22"/>
        </w:rPr>
        <w:t>R-a, u trajanju od 7 meseci;</w:t>
      </w:r>
    </w:p>
    <w:p w14:paraId="442F1738" w14:textId="38B87F71" w:rsidR="00472A5B" w:rsidRPr="00472A5B" w:rsidRDefault="00472A5B" w:rsidP="00472A5B">
      <w:pPr>
        <w:rPr>
          <w:rFonts w:ascii="Book Antiqua" w:hAnsi="Book Antiqua"/>
          <w:sz w:val="22"/>
          <w:szCs w:val="22"/>
        </w:rPr>
      </w:pPr>
      <w:r w:rsidRPr="00472A5B">
        <w:rPr>
          <w:rFonts w:ascii="Book Antiqua" w:hAnsi="Book Antiqua"/>
          <w:sz w:val="22"/>
          <w:szCs w:val="22"/>
        </w:rPr>
        <w:t>6. Ugovor korisnika sa M</w:t>
      </w:r>
      <w:r w:rsidR="00DB200D">
        <w:rPr>
          <w:rFonts w:ascii="Book Antiqua" w:hAnsi="Book Antiqua"/>
          <w:sz w:val="22"/>
          <w:szCs w:val="22"/>
        </w:rPr>
        <w:t>R</w:t>
      </w:r>
      <w:r w:rsidRPr="00472A5B">
        <w:rPr>
          <w:rFonts w:ascii="Book Antiqua" w:hAnsi="Book Antiqua"/>
          <w:sz w:val="22"/>
          <w:szCs w:val="22"/>
        </w:rPr>
        <w:t>R;</w:t>
      </w:r>
    </w:p>
    <w:p w14:paraId="6A65C48A" w14:textId="5D9AA41F" w:rsidR="00B938FC" w:rsidRDefault="00472A5B" w:rsidP="00472A5B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  <w:r w:rsidRPr="00472A5B">
        <w:rPr>
          <w:rFonts w:ascii="Book Antiqua" w:hAnsi="Book Antiqua"/>
          <w:sz w:val="22"/>
          <w:szCs w:val="22"/>
        </w:rPr>
        <w:t>7. Potvrda o registraciji preduzeća iz ARBK-a;</w:t>
      </w:r>
    </w:p>
    <w:p w14:paraId="5D31C290" w14:textId="61C003F1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1E642F10" w14:textId="2B576DCA" w:rsidR="00E47CC8" w:rsidRPr="00E47CC8" w:rsidRDefault="00E47CC8" w:rsidP="00122821">
      <w:pPr>
        <w:rPr>
          <w:rFonts w:ascii="Book Antiqua" w:eastAsia="Arial" w:hAnsi="Book Antiqua"/>
          <w:b/>
          <w:i/>
          <w:color w:val="000000" w:themeColor="text1"/>
          <w:sz w:val="24"/>
          <w:szCs w:val="24"/>
        </w:rPr>
      </w:pPr>
      <w:r w:rsidRPr="00E47CC8">
        <w:rPr>
          <w:rFonts w:ascii="Book Antiqua" w:eastAsia="Arial" w:hAnsi="Book Antiqua"/>
          <w:b/>
          <w:i/>
          <w:color w:val="000000" w:themeColor="text1"/>
          <w:sz w:val="24"/>
          <w:szCs w:val="24"/>
        </w:rPr>
        <w:t>_________________________________________________________________________________</w:t>
      </w:r>
    </w:p>
    <w:p w14:paraId="590205BF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3DA35EC2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3F77014F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5379FC74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09D6D64B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11E7C128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02E9E112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16C123B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0A043F1A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5FF56E82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59D558E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5FE80ABE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3F0F2EA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2DA3D752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0188363E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19586A5" w14:textId="037DD66E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0D97F6CE" w14:textId="19E40332" w:rsidR="0005445A" w:rsidRDefault="0005445A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5B5B5E25" w14:textId="5B378822" w:rsidR="0005445A" w:rsidRDefault="0005445A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7C6E6042" w14:textId="316FB100" w:rsidR="0005445A" w:rsidRDefault="0005445A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24E60B91" w14:textId="77777777" w:rsidR="0005445A" w:rsidRDefault="0005445A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405B4288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08143181" w14:textId="77777777"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09BBCA07" w14:textId="77777777" w:rsidR="001305B5" w:rsidRDefault="001305B5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333BC2D0" w14:textId="42DE82E1" w:rsidR="0005445A" w:rsidRPr="0005445A" w:rsidRDefault="0005445A" w:rsidP="0005445A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  <w:r w:rsidRPr="0005445A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Dodatak 3: Smernice u vezi sa kriterijumima plaćanja za subvencije iz M</w:t>
      </w: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R</w:t>
      </w:r>
      <w:r w:rsidRPr="0005445A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R-a za:</w:t>
      </w:r>
    </w:p>
    <w:p w14:paraId="16AD6B40" w14:textId="77777777" w:rsidR="0005445A" w:rsidRPr="0005445A" w:rsidRDefault="0005445A" w:rsidP="0005445A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15F826E2" w14:textId="125A7296" w:rsidR="0005445A" w:rsidRPr="0005445A" w:rsidRDefault="0005445A" w:rsidP="0005445A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  <w:r w:rsidRPr="0005445A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Lot 1 (</w:t>
      </w: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Start Up</w:t>
      </w:r>
      <w:r w:rsidRPr="0005445A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),</w:t>
      </w:r>
    </w:p>
    <w:p w14:paraId="6BF85B27" w14:textId="69ECAE53" w:rsidR="0005445A" w:rsidRPr="0005445A" w:rsidRDefault="0005445A" w:rsidP="0005445A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  <w:r w:rsidRPr="0005445A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Partija 1 (postojeći</w:t>
      </w: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biznisi</w:t>
      </w:r>
      <w:r w:rsidRPr="0005445A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) i</w:t>
      </w:r>
    </w:p>
    <w:p w14:paraId="711B1D65" w14:textId="7D6B60F4" w:rsidR="0005445A" w:rsidRDefault="0005445A" w:rsidP="0005445A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  <w:r w:rsidRPr="0005445A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Partija 2 (postojeći </w:t>
      </w: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biznisi</w:t>
      </w:r>
      <w:r w:rsidRPr="0005445A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)</w:t>
      </w:r>
    </w:p>
    <w:p w14:paraId="16D005D2" w14:textId="77777777" w:rsidR="0005445A" w:rsidRDefault="0005445A" w:rsidP="0005445A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58EB16DE" w14:textId="4399749A" w:rsidR="00E150B5" w:rsidRPr="00E150B5" w:rsidRDefault="00E150B5" w:rsidP="0005445A">
      <w:pPr>
        <w:rPr>
          <w:rFonts w:ascii="Book Antiqua" w:hAnsi="Book Antiqua"/>
          <w:bCs/>
          <w:sz w:val="22"/>
          <w:szCs w:val="22"/>
        </w:rPr>
      </w:pPr>
      <w:r w:rsidRPr="00E150B5">
        <w:rPr>
          <w:rFonts w:ascii="Book Antiqua" w:hAnsi="Book Antiqua"/>
          <w:bCs/>
          <w:sz w:val="22"/>
          <w:szCs w:val="22"/>
        </w:rPr>
        <w:t>S</w:t>
      </w:r>
      <w:r w:rsidRPr="00E150B5">
        <w:rPr>
          <w:rFonts w:ascii="Book Antiqua" w:hAnsi="Book Antiqua"/>
          <w:bCs/>
          <w:sz w:val="22"/>
          <w:szCs w:val="22"/>
        </w:rPr>
        <w:t>pisak dokumenata potrebnih za izvršenje uplate (druge rate) projekta po Grant šemi</w:t>
      </w:r>
    </w:p>
    <w:p w14:paraId="4DD93750" w14:textId="77777777" w:rsidR="00E150B5" w:rsidRPr="00E150B5" w:rsidRDefault="00E150B5" w:rsidP="00E150B5">
      <w:pPr>
        <w:rPr>
          <w:rFonts w:ascii="Book Antiqua" w:hAnsi="Book Antiqua"/>
          <w:b/>
          <w:sz w:val="22"/>
          <w:szCs w:val="22"/>
        </w:rPr>
      </w:pPr>
    </w:p>
    <w:p w14:paraId="212BCAC9" w14:textId="68421F85" w:rsidR="00E150B5" w:rsidRPr="00FE339F" w:rsidRDefault="00E150B5" w:rsidP="00E150B5">
      <w:pPr>
        <w:jc w:val="center"/>
        <w:rPr>
          <w:rFonts w:ascii="Book Antiqua" w:hAnsi="Book Antiqua"/>
          <w:b/>
          <w:sz w:val="24"/>
          <w:szCs w:val="24"/>
        </w:rPr>
      </w:pPr>
      <w:r w:rsidRPr="00FE339F">
        <w:rPr>
          <w:rFonts w:ascii="Book Antiqua" w:hAnsi="Book Antiqua"/>
          <w:b/>
          <w:sz w:val="24"/>
          <w:szCs w:val="24"/>
        </w:rPr>
        <w:t xml:space="preserve">„PROGRAM BALANSIRANOG REGIONALNOG RAZVOJA“ </w:t>
      </w:r>
      <w:r w:rsidR="00005390" w:rsidRPr="00FE339F">
        <w:rPr>
          <w:rFonts w:ascii="Book Antiqua" w:hAnsi="Book Antiqua"/>
          <w:b/>
          <w:sz w:val="24"/>
          <w:szCs w:val="24"/>
        </w:rPr>
        <w:t>PURR</w:t>
      </w:r>
      <w:r w:rsidRPr="00FE339F">
        <w:rPr>
          <w:rFonts w:ascii="Book Antiqua" w:hAnsi="Book Antiqua"/>
          <w:b/>
          <w:sz w:val="24"/>
          <w:szCs w:val="24"/>
        </w:rPr>
        <w:t xml:space="preserve"> 2022</w:t>
      </w:r>
    </w:p>
    <w:p w14:paraId="280F48E1" w14:textId="77777777" w:rsidR="00E150B5" w:rsidRPr="00E150B5" w:rsidRDefault="00E150B5" w:rsidP="00E150B5">
      <w:pPr>
        <w:rPr>
          <w:rFonts w:ascii="Book Antiqua" w:hAnsi="Book Antiqua"/>
          <w:b/>
          <w:sz w:val="22"/>
          <w:szCs w:val="22"/>
        </w:rPr>
      </w:pPr>
    </w:p>
    <w:p w14:paraId="6D6B9AA1" w14:textId="77777777" w:rsidR="00E150B5" w:rsidRPr="00FE339F" w:rsidRDefault="00E150B5" w:rsidP="00E150B5">
      <w:pPr>
        <w:rPr>
          <w:rFonts w:ascii="Book Antiqua" w:hAnsi="Book Antiqua"/>
          <w:b/>
          <w:sz w:val="24"/>
          <w:szCs w:val="24"/>
        </w:rPr>
      </w:pPr>
      <w:r w:rsidRPr="00FE339F">
        <w:rPr>
          <w:rFonts w:ascii="Book Antiqua" w:hAnsi="Book Antiqua"/>
          <w:b/>
          <w:sz w:val="24"/>
          <w:szCs w:val="24"/>
        </w:rPr>
        <w:t>I. Dokumenti koje korisnik treba da dostavi:</w:t>
      </w:r>
    </w:p>
    <w:p w14:paraId="541809D9" w14:textId="77777777" w:rsidR="00E150B5" w:rsidRPr="00E150B5" w:rsidRDefault="00E150B5" w:rsidP="00E150B5">
      <w:pPr>
        <w:rPr>
          <w:rFonts w:ascii="Book Antiqua" w:hAnsi="Book Antiqua"/>
          <w:b/>
          <w:sz w:val="22"/>
          <w:szCs w:val="22"/>
        </w:rPr>
      </w:pPr>
    </w:p>
    <w:p w14:paraId="393EB14F" w14:textId="77777777" w:rsidR="00E150B5" w:rsidRPr="00E150B5" w:rsidRDefault="00E150B5" w:rsidP="00E150B5">
      <w:pPr>
        <w:rPr>
          <w:rFonts w:ascii="Book Antiqua" w:hAnsi="Book Antiqua"/>
          <w:bCs/>
          <w:sz w:val="22"/>
          <w:szCs w:val="22"/>
        </w:rPr>
      </w:pPr>
      <w:r w:rsidRPr="00E150B5">
        <w:rPr>
          <w:rFonts w:ascii="Book Antiqua" w:hAnsi="Book Antiqua"/>
          <w:bCs/>
          <w:sz w:val="22"/>
          <w:szCs w:val="22"/>
        </w:rPr>
        <w:t>1. Zahtev za uplatu druge rate;</w:t>
      </w:r>
    </w:p>
    <w:p w14:paraId="3524F79F" w14:textId="77777777" w:rsidR="00E150B5" w:rsidRPr="00E150B5" w:rsidRDefault="00E150B5" w:rsidP="00E150B5">
      <w:pPr>
        <w:rPr>
          <w:rFonts w:ascii="Book Antiqua" w:hAnsi="Book Antiqua"/>
          <w:bCs/>
          <w:sz w:val="22"/>
          <w:szCs w:val="22"/>
        </w:rPr>
      </w:pPr>
      <w:r w:rsidRPr="00E150B5">
        <w:rPr>
          <w:rFonts w:ascii="Book Antiqua" w:hAnsi="Book Antiqua"/>
          <w:bCs/>
          <w:sz w:val="22"/>
          <w:szCs w:val="22"/>
        </w:rPr>
        <w:t>2. Račun za uplatu druge rate;</w:t>
      </w:r>
    </w:p>
    <w:p w14:paraId="663C5305" w14:textId="77777777" w:rsidR="00E150B5" w:rsidRPr="00E150B5" w:rsidRDefault="00E150B5" w:rsidP="00E150B5">
      <w:pPr>
        <w:rPr>
          <w:rFonts w:ascii="Book Antiqua" w:hAnsi="Book Antiqua"/>
          <w:bCs/>
          <w:sz w:val="22"/>
          <w:szCs w:val="22"/>
        </w:rPr>
      </w:pPr>
      <w:r w:rsidRPr="00E150B5">
        <w:rPr>
          <w:rFonts w:ascii="Book Antiqua" w:hAnsi="Book Antiqua"/>
          <w:bCs/>
          <w:sz w:val="22"/>
          <w:szCs w:val="22"/>
        </w:rPr>
        <w:t>3. Svi duplikati faktura identični originalu potpisani i pečatirani od strane korisnika i originalne transakcije (originalne uplatnice u ukupnom iznosu računa/faktura u vezi sa projektom) u vezi sa investicijom;</w:t>
      </w:r>
    </w:p>
    <w:p w14:paraId="3349D2DD" w14:textId="77777777" w:rsidR="00E150B5" w:rsidRPr="00E150B5" w:rsidRDefault="00E150B5" w:rsidP="00E150B5">
      <w:pPr>
        <w:rPr>
          <w:rFonts w:ascii="Book Antiqua" w:hAnsi="Book Antiqua"/>
          <w:bCs/>
          <w:sz w:val="22"/>
          <w:szCs w:val="22"/>
        </w:rPr>
      </w:pPr>
      <w:r w:rsidRPr="00E150B5">
        <w:rPr>
          <w:rFonts w:ascii="Book Antiqua" w:hAnsi="Book Antiqua"/>
          <w:bCs/>
          <w:sz w:val="22"/>
          <w:szCs w:val="22"/>
        </w:rPr>
        <w:t>4. Za kupovine izvršene u inostranstvu, mora se priložiti Jedinstveni carinski dokument (identična kopija sa originalom potpisan i pečatiran od strane korisnika) od Carine Republike Kosovo;</w:t>
      </w:r>
    </w:p>
    <w:p w14:paraId="322B3F47" w14:textId="77777777" w:rsidR="00E150B5" w:rsidRPr="00E150B5" w:rsidRDefault="00E150B5" w:rsidP="00E150B5">
      <w:pPr>
        <w:rPr>
          <w:rFonts w:ascii="Book Antiqua" w:hAnsi="Book Antiqua"/>
          <w:bCs/>
          <w:sz w:val="22"/>
          <w:szCs w:val="22"/>
        </w:rPr>
      </w:pPr>
      <w:r w:rsidRPr="00E150B5">
        <w:rPr>
          <w:rFonts w:ascii="Book Antiqua" w:hAnsi="Book Antiqua"/>
          <w:bCs/>
          <w:sz w:val="22"/>
          <w:szCs w:val="22"/>
        </w:rPr>
        <w:t>5. Što se tiče Lot 1 – Start Up kategorije, potrebno je da se logo preduzeća (naziv Vaše firme ili oglas) postavi na vidno mesto na ulazu u objekat/prostorije u kojima će preduzeće poslovati;</w:t>
      </w:r>
    </w:p>
    <w:p w14:paraId="40275C36" w14:textId="77777777" w:rsidR="00E150B5" w:rsidRPr="00E150B5" w:rsidRDefault="00E150B5" w:rsidP="00E150B5">
      <w:pPr>
        <w:rPr>
          <w:rFonts w:ascii="Book Antiqua" w:hAnsi="Book Antiqua"/>
          <w:bCs/>
          <w:sz w:val="22"/>
          <w:szCs w:val="22"/>
        </w:rPr>
      </w:pPr>
      <w:r w:rsidRPr="00E150B5">
        <w:rPr>
          <w:rFonts w:ascii="Book Antiqua" w:hAnsi="Book Antiqua"/>
          <w:bCs/>
          <w:sz w:val="22"/>
          <w:szCs w:val="22"/>
        </w:rPr>
        <w:t>6. Dopuna popunjena prema uputstvu za nabavku;</w:t>
      </w:r>
    </w:p>
    <w:p w14:paraId="41096027" w14:textId="77777777" w:rsidR="00E150B5" w:rsidRPr="00E150B5" w:rsidRDefault="00E150B5" w:rsidP="00E150B5">
      <w:pPr>
        <w:rPr>
          <w:rFonts w:ascii="Book Antiqua" w:hAnsi="Book Antiqua"/>
          <w:bCs/>
          <w:sz w:val="22"/>
          <w:szCs w:val="22"/>
        </w:rPr>
      </w:pPr>
      <w:r w:rsidRPr="00E150B5">
        <w:rPr>
          <w:rFonts w:ascii="Book Antiqua" w:hAnsi="Book Antiqua"/>
          <w:bCs/>
          <w:sz w:val="22"/>
          <w:szCs w:val="22"/>
        </w:rPr>
        <w:t>7. Svako drugo neophodno pismo/dokument kao što je odlaganje roka, bilo kakvo opravdanje, itd.;</w:t>
      </w:r>
    </w:p>
    <w:p w14:paraId="1FBA9E86" w14:textId="2316BC95" w:rsidR="00E150B5" w:rsidRPr="00E150B5" w:rsidRDefault="00E150B5" w:rsidP="00E150B5">
      <w:pPr>
        <w:rPr>
          <w:rFonts w:ascii="Book Antiqua" w:hAnsi="Book Antiqua"/>
          <w:bCs/>
          <w:sz w:val="22"/>
          <w:szCs w:val="22"/>
        </w:rPr>
      </w:pPr>
      <w:r w:rsidRPr="00E150B5">
        <w:rPr>
          <w:rFonts w:ascii="Book Antiqua" w:hAnsi="Book Antiqua"/>
          <w:bCs/>
          <w:sz w:val="22"/>
          <w:szCs w:val="22"/>
        </w:rPr>
        <w:t>8. Dokaz o zaposlenju prema projektu (pečat PAK-a/ili potvrđen u M</w:t>
      </w:r>
      <w:r w:rsidR="00005390">
        <w:rPr>
          <w:rFonts w:ascii="Book Antiqua" w:hAnsi="Book Antiqua"/>
          <w:bCs/>
          <w:sz w:val="22"/>
          <w:szCs w:val="22"/>
        </w:rPr>
        <w:t>R</w:t>
      </w:r>
      <w:r w:rsidRPr="00E150B5">
        <w:rPr>
          <w:rFonts w:ascii="Book Antiqua" w:hAnsi="Book Antiqua"/>
          <w:bCs/>
          <w:sz w:val="22"/>
          <w:szCs w:val="22"/>
        </w:rPr>
        <w:t>R-u);</w:t>
      </w:r>
    </w:p>
    <w:p w14:paraId="556032CD" w14:textId="77777777" w:rsidR="00E150B5" w:rsidRPr="00E150B5" w:rsidRDefault="00E150B5" w:rsidP="00E150B5">
      <w:pPr>
        <w:rPr>
          <w:rFonts w:ascii="Book Antiqua" w:hAnsi="Book Antiqua"/>
          <w:bCs/>
          <w:sz w:val="22"/>
          <w:szCs w:val="22"/>
        </w:rPr>
      </w:pPr>
      <w:r w:rsidRPr="00E150B5">
        <w:rPr>
          <w:rFonts w:ascii="Book Antiqua" w:hAnsi="Book Antiqua"/>
          <w:bCs/>
          <w:sz w:val="22"/>
          <w:szCs w:val="22"/>
        </w:rPr>
        <w:t>9. Narativni i finansijski izveštaj korisnika;</w:t>
      </w:r>
    </w:p>
    <w:p w14:paraId="09334F54" w14:textId="4689D094" w:rsidR="00C5024E" w:rsidRPr="00E150B5" w:rsidRDefault="00E150B5" w:rsidP="00E150B5">
      <w:pPr>
        <w:rPr>
          <w:rFonts w:ascii="Book Antiqua" w:hAnsi="Book Antiqua"/>
          <w:bCs/>
          <w:sz w:val="22"/>
          <w:szCs w:val="22"/>
        </w:rPr>
      </w:pPr>
      <w:r w:rsidRPr="00E150B5">
        <w:rPr>
          <w:rFonts w:ascii="Book Antiqua" w:hAnsi="Book Antiqua"/>
          <w:bCs/>
          <w:sz w:val="22"/>
          <w:szCs w:val="22"/>
        </w:rPr>
        <w:t>10. Ugovor korisnika sa M</w:t>
      </w:r>
      <w:r w:rsidR="00005390">
        <w:rPr>
          <w:rFonts w:ascii="Book Antiqua" w:hAnsi="Book Antiqua"/>
          <w:bCs/>
          <w:sz w:val="22"/>
          <w:szCs w:val="22"/>
        </w:rPr>
        <w:t>R</w:t>
      </w:r>
      <w:r w:rsidRPr="00E150B5">
        <w:rPr>
          <w:rFonts w:ascii="Book Antiqua" w:hAnsi="Book Antiqua"/>
          <w:bCs/>
          <w:sz w:val="22"/>
          <w:szCs w:val="22"/>
        </w:rPr>
        <w:t>R;</w:t>
      </w:r>
    </w:p>
    <w:sectPr w:rsidR="00C5024E" w:rsidRPr="00E150B5" w:rsidSect="002B3E11">
      <w:headerReference w:type="default" r:id="rId9"/>
      <w:pgSz w:w="12240" w:h="15840"/>
      <w:pgMar w:top="180" w:right="1170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7779" w14:textId="77777777" w:rsidR="00BB4BAB" w:rsidRDefault="00BB4BAB">
      <w:r>
        <w:separator/>
      </w:r>
    </w:p>
  </w:endnote>
  <w:endnote w:type="continuationSeparator" w:id="0">
    <w:p w14:paraId="5C0D1DB8" w14:textId="77777777" w:rsidR="00BB4BAB" w:rsidRDefault="00BB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1F1A" w14:textId="77777777" w:rsidR="00BB4BAB" w:rsidRDefault="00BB4BAB">
      <w:r>
        <w:separator/>
      </w:r>
    </w:p>
  </w:footnote>
  <w:footnote w:type="continuationSeparator" w:id="0">
    <w:p w14:paraId="3B77DFA1" w14:textId="77777777" w:rsidR="00BB4BAB" w:rsidRDefault="00BB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77DE" w14:textId="77777777" w:rsidR="00707551" w:rsidRDefault="00544701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1F99E4E" wp14:editId="303AE11E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0" t="0" r="0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DE0D4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14:paraId="509D2D21" w14:textId="77777777" w:rsidR="00707551" w:rsidRDefault="00707551"/>
  <w:p w14:paraId="38D92EA5" w14:textId="77777777" w:rsidR="00707551" w:rsidRDefault="00544701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DDAFA03" wp14:editId="34B6352F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C911D5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6431CA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C1FDC"/>
    <w:multiLevelType w:val="hybridMultilevel"/>
    <w:tmpl w:val="CEA4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16BA5"/>
    <w:multiLevelType w:val="hybridMultilevel"/>
    <w:tmpl w:val="660E8694"/>
    <w:lvl w:ilvl="0" w:tplc="D95C2C8C">
      <w:start w:val="3"/>
      <w:numFmt w:val="bullet"/>
      <w:lvlText w:val="-"/>
      <w:lvlJc w:val="left"/>
      <w:pPr>
        <w:ind w:left="720" w:hanging="360"/>
      </w:pPr>
      <w:rPr>
        <w:rFonts w:ascii="Book Antiqua" w:eastAsia="Arial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A1CCF"/>
    <w:multiLevelType w:val="hybridMultilevel"/>
    <w:tmpl w:val="935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524380">
    <w:abstractNumId w:val="14"/>
  </w:num>
  <w:num w:numId="2" w16cid:durableId="979260596">
    <w:abstractNumId w:val="0"/>
  </w:num>
  <w:num w:numId="3" w16cid:durableId="792406693">
    <w:abstractNumId w:val="9"/>
  </w:num>
  <w:num w:numId="4" w16cid:durableId="906918520">
    <w:abstractNumId w:val="5"/>
  </w:num>
  <w:num w:numId="5" w16cid:durableId="740713764">
    <w:abstractNumId w:val="3"/>
  </w:num>
  <w:num w:numId="6" w16cid:durableId="1720783971">
    <w:abstractNumId w:val="13"/>
  </w:num>
  <w:num w:numId="7" w16cid:durableId="1325621470">
    <w:abstractNumId w:val="15"/>
  </w:num>
  <w:num w:numId="8" w16cid:durableId="36854742">
    <w:abstractNumId w:val="2"/>
  </w:num>
  <w:num w:numId="9" w16cid:durableId="114952204">
    <w:abstractNumId w:val="6"/>
  </w:num>
  <w:num w:numId="10" w16cid:durableId="1752577881">
    <w:abstractNumId w:val="7"/>
  </w:num>
  <w:num w:numId="11" w16cid:durableId="899055219">
    <w:abstractNumId w:val="8"/>
  </w:num>
  <w:num w:numId="12" w16cid:durableId="559290028">
    <w:abstractNumId w:val="10"/>
  </w:num>
  <w:num w:numId="13" w16cid:durableId="134641940">
    <w:abstractNumId w:val="12"/>
  </w:num>
  <w:num w:numId="14" w16cid:durableId="244194926">
    <w:abstractNumId w:val="4"/>
  </w:num>
  <w:num w:numId="15" w16cid:durableId="1764257150">
    <w:abstractNumId w:val="1"/>
  </w:num>
  <w:num w:numId="16" w16cid:durableId="6463275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FF"/>
    <w:rsid w:val="00005390"/>
    <w:rsid w:val="00031A2A"/>
    <w:rsid w:val="00035F51"/>
    <w:rsid w:val="0005445A"/>
    <w:rsid w:val="000B79A7"/>
    <w:rsid w:val="000D60D9"/>
    <w:rsid w:val="000E6263"/>
    <w:rsid w:val="000F6109"/>
    <w:rsid w:val="000F6406"/>
    <w:rsid w:val="00110CBB"/>
    <w:rsid w:val="0011315E"/>
    <w:rsid w:val="00116767"/>
    <w:rsid w:val="00122821"/>
    <w:rsid w:val="001305B5"/>
    <w:rsid w:val="00131605"/>
    <w:rsid w:val="00166E99"/>
    <w:rsid w:val="001839F1"/>
    <w:rsid w:val="0019746C"/>
    <w:rsid w:val="001A25BF"/>
    <w:rsid w:val="001B3008"/>
    <w:rsid w:val="001D5EEE"/>
    <w:rsid w:val="001E160B"/>
    <w:rsid w:val="001E3FF5"/>
    <w:rsid w:val="001F066F"/>
    <w:rsid w:val="001F0B26"/>
    <w:rsid w:val="001F5B88"/>
    <w:rsid w:val="00221477"/>
    <w:rsid w:val="00232E6A"/>
    <w:rsid w:val="00240C32"/>
    <w:rsid w:val="00241452"/>
    <w:rsid w:val="00243D85"/>
    <w:rsid w:val="00271DEB"/>
    <w:rsid w:val="00273738"/>
    <w:rsid w:val="00283453"/>
    <w:rsid w:val="002B2D4E"/>
    <w:rsid w:val="002B3E11"/>
    <w:rsid w:val="002C2B6A"/>
    <w:rsid w:val="002E72E9"/>
    <w:rsid w:val="002F035C"/>
    <w:rsid w:val="002F291D"/>
    <w:rsid w:val="002F464F"/>
    <w:rsid w:val="002F4BA0"/>
    <w:rsid w:val="003027B0"/>
    <w:rsid w:val="0030425C"/>
    <w:rsid w:val="00334108"/>
    <w:rsid w:val="003524CB"/>
    <w:rsid w:val="003742D7"/>
    <w:rsid w:val="003776A1"/>
    <w:rsid w:val="0038368D"/>
    <w:rsid w:val="003915DF"/>
    <w:rsid w:val="00391770"/>
    <w:rsid w:val="00397D2E"/>
    <w:rsid w:val="003B6A23"/>
    <w:rsid w:val="003D321F"/>
    <w:rsid w:val="003D3766"/>
    <w:rsid w:val="003E15D4"/>
    <w:rsid w:val="00403071"/>
    <w:rsid w:val="004142F8"/>
    <w:rsid w:val="00417057"/>
    <w:rsid w:val="0045357A"/>
    <w:rsid w:val="00472A5B"/>
    <w:rsid w:val="004A7F97"/>
    <w:rsid w:val="004B29DF"/>
    <w:rsid w:val="004C2904"/>
    <w:rsid w:val="004E3753"/>
    <w:rsid w:val="004F7F14"/>
    <w:rsid w:val="00520A95"/>
    <w:rsid w:val="00523465"/>
    <w:rsid w:val="00540CA6"/>
    <w:rsid w:val="00542BFF"/>
    <w:rsid w:val="00544701"/>
    <w:rsid w:val="0054551B"/>
    <w:rsid w:val="00551963"/>
    <w:rsid w:val="00556003"/>
    <w:rsid w:val="0059173B"/>
    <w:rsid w:val="00594FD0"/>
    <w:rsid w:val="005B5D47"/>
    <w:rsid w:val="005D0F84"/>
    <w:rsid w:val="005F0A44"/>
    <w:rsid w:val="005F2083"/>
    <w:rsid w:val="005F2D25"/>
    <w:rsid w:val="00633720"/>
    <w:rsid w:val="00670A58"/>
    <w:rsid w:val="0067628F"/>
    <w:rsid w:val="0069607E"/>
    <w:rsid w:val="00697901"/>
    <w:rsid w:val="006D4F3C"/>
    <w:rsid w:val="006F6FAA"/>
    <w:rsid w:val="00707551"/>
    <w:rsid w:val="0071000B"/>
    <w:rsid w:val="00731369"/>
    <w:rsid w:val="00735EBF"/>
    <w:rsid w:val="007522FD"/>
    <w:rsid w:val="00752A4F"/>
    <w:rsid w:val="00753A22"/>
    <w:rsid w:val="00777302"/>
    <w:rsid w:val="007C2236"/>
    <w:rsid w:val="007D090F"/>
    <w:rsid w:val="007D6E18"/>
    <w:rsid w:val="007D7389"/>
    <w:rsid w:val="007E44D5"/>
    <w:rsid w:val="007F3F29"/>
    <w:rsid w:val="007F743D"/>
    <w:rsid w:val="00817F4F"/>
    <w:rsid w:val="0082430F"/>
    <w:rsid w:val="00837039"/>
    <w:rsid w:val="008B1A80"/>
    <w:rsid w:val="008C042B"/>
    <w:rsid w:val="008F54E9"/>
    <w:rsid w:val="008F6D6B"/>
    <w:rsid w:val="00901642"/>
    <w:rsid w:val="00926FED"/>
    <w:rsid w:val="00947D6B"/>
    <w:rsid w:val="00947F8F"/>
    <w:rsid w:val="00950BFB"/>
    <w:rsid w:val="00974C92"/>
    <w:rsid w:val="00975C82"/>
    <w:rsid w:val="00976429"/>
    <w:rsid w:val="00977233"/>
    <w:rsid w:val="00991DE7"/>
    <w:rsid w:val="009951B0"/>
    <w:rsid w:val="009C2951"/>
    <w:rsid w:val="009E373A"/>
    <w:rsid w:val="009F5407"/>
    <w:rsid w:val="00A26812"/>
    <w:rsid w:val="00A54A95"/>
    <w:rsid w:val="00A865F0"/>
    <w:rsid w:val="00AB0782"/>
    <w:rsid w:val="00AB370C"/>
    <w:rsid w:val="00AB6CEA"/>
    <w:rsid w:val="00AC6150"/>
    <w:rsid w:val="00AE0188"/>
    <w:rsid w:val="00B00F63"/>
    <w:rsid w:val="00B02655"/>
    <w:rsid w:val="00B03A05"/>
    <w:rsid w:val="00B14F27"/>
    <w:rsid w:val="00B349A6"/>
    <w:rsid w:val="00B63108"/>
    <w:rsid w:val="00B81E2D"/>
    <w:rsid w:val="00B938FC"/>
    <w:rsid w:val="00BA0E72"/>
    <w:rsid w:val="00BA4FA0"/>
    <w:rsid w:val="00BB4BAB"/>
    <w:rsid w:val="00BC3FAA"/>
    <w:rsid w:val="00BC567C"/>
    <w:rsid w:val="00BC7523"/>
    <w:rsid w:val="00BE1ECD"/>
    <w:rsid w:val="00BE6C1F"/>
    <w:rsid w:val="00BE7FE2"/>
    <w:rsid w:val="00C27CB2"/>
    <w:rsid w:val="00C35DF9"/>
    <w:rsid w:val="00C5024E"/>
    <w:rsid w:val="00C569BF"/>
    <w:rsid w:val="00C83AB0"/>
    <w:rsid w:val="00C93742"/>
    <w:rsid w:val="00CA19E9"/>
    <w:rsid w:val="00CA2FBC"/>
    <w:rsid w:val="00CA326A"/>
    <w:rsid w:val="00CB65BA"/>
    <w:rsid w:val="00CD2FA7"/>
    <w:rsid w:val="00CE24C2"/>
    <w:rsid w:val="00D024C2"/>
    <w:rsid w:val="00D07782"/>
    <w:rsid w:val="00D25EC5"/>
    <w:rsid w:val="00D32CC9"/>
    <w:rsid w:val="00D44589"/>
    <w:rsid w:val="00D65361"/>
    <w:rsid w:val="00DB200D"/>
    <w:rsid w:val="00DB3687"/>
    <w:rsid w:val="00DD41A0"/>
    <w:rsid w:val="00DE2599"/>
    <w:rsid w:val="00DE78E2"/>
    <w:rsid w:val="00DF4F28"/>
    <w:rsid w:val="00E122D3"/>
    <w:rsid w:val="00E12737"/>
    <w:rsid w:val="00E150B5"/>
    <w:rsid w:val="00E15AC4"/>
    <w:rsid w:val="00E178AC"/>
    <w:rsid w:val="00E44F55"/>
    <w:rsid w:val="00E46BB7"/>
    <w:rsid w:val="00E47CC8"/>
    <w:rsid w:val="00E5641F"/>
    <w:rsid w:val="00E677B6"/>
    <w:rsid w:val="00E71755"/>
    <w:rsid w:val="00E75677"/>
    <w:rsid w:val="00EC17B4"/>
    <w:rsid w:val="00ED4940"/>
    <w:rsid w:val="00EF1217"/>
    <w:rsid w:val="00F04CFE"/>
    <w:rsid w:val="00F25932"/>
    <w:rsid w:val="00F45E4C"/>
    <w:rsid w:val="00F51E32"/>
    <w:rsid w:val="00F535ED"/>
    <w:rsid w:val="00F6377D"/>
    <w:rsid w:val="00F706FB"/>
    <w:rsid w:val="00F74B82"/>
    <w:rsid w:val="00F818BC"/>
    <w:rsid w:val="00FA1C66"/>
    <w:rsid w:val="00FD4D9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B6544"/>
  <w15:docId w15:val="{41D54835-6F8D-413F-B010-2FC06F1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5E66-D53E-4944-93B6-97DDF6ED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Adis Salaji</cp:lastModifiedBy>
  <cp:revision>34</cp:revision>
  <cp:lastPrinted>2022-07-15T07:13:00Z</cp:lastPrinted>
  <dcterms:created xsi:type="dcterms:W3CDTF">2022-07-06T12:53:00Z</dcterms:created>
  <dcterms:modified xsi:type="dcterms:W3CDTF">2022-07-20T08:59:00Z</dcterms:modified>
</cp:coreProperties>
</file>