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Book Antiqua" w:eastAsia="Times New Roman" w:hAnsi="Book Antiqua" w:cstheme="majorHAnsi"/>
          <w:b/>
          <w:bCs/>
          <w:sz w:val="22"/>
          <w:szCs w:val="22"/>
        </w:rPr>
        <w:id w:val="650337325"/>
        <w:docPartObj>
          <w:docPartGallery w:val="Cover Pages"/>
          <w:docPartUnique/>
        </w:docPartObj>
      </w:sdtPr>
      <w:sdtEndPr/>
      <w:sdtContent>
        <w:p w:rsidR="00C97FC5" w:rsidRPr="00680B44" w:rsidRDefault="00C97FC5">
          <w:pPr>
            <w:spacing w:after="160" w:line="259" w:lineRule="auto"/>
            <w:rPr>
              <w:rFonts w:ascii="Book Antiqua" w:eastAsia="Times New Roman" w:hAnsi="Book Antiqua" w:cstheme="majorHAnsi"/>
              <w:b/>
              <w:bCs/>
              <w:sz w:val="22"/>
              <w:szCs w:val="22"/>
            </w:rPr>
          </w:pPr>
          <w:r w:rsidRPr="00680B44">
            <w:rPr>
              <w:rFonts w:ascii="Book Antiqua" w:eastAsia="Times New Roman" w:hAnsi="Book Antiqua" w:cstheme="majorHAnsi"/>
              <w:b/>
              <w:bCs/>
              <w:noProof/>
              <w:sz w:val="22"/>
              <w:szCs w:val="22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219075</wp:posOffset>
                    </wp:positionH>
                    <wp:positionV relativeFrom="margin">
                      <wp:align>bottom</wp:align>
                    </wp:positionV>
                    <wp:extent cx="7322185" cy="7981950"/>
                    <wp:effectExtent l="0" t="0" r="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22185" cy="798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FC5" w:rsidRDefault="00C97FC5"/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520"/>
                                  <w:gridCol w:w="5719"/>
                                </w:tblGrid>
                                <w:tr w:rsidR="00C97FC5" w:rsidTr="000F087C">
                                  <w:trPr>
                                    <w:trHeight w:val="10674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C97FC5" w:rsidRPr="00B22EEF" w:rsidRDefault="00C97FC5" w:rsidP="00C97FC5">
                                      <w:pPr>
                                        <w:jc w:val="center"/>
                                        <w:rPr>
                                          <w:color w:val="2E74B5" w:themeColor="accent1" w:themeShade="BF"/>
                                          <w14:textOutline w14:w="9525" w14:cap="rnd" w14:cmpd="sng" w14:algn="ctr">
                                            <w14:solidFill>
                                              <w14:schemeClr w14:val="accent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:rsidR="00C97FC5" w:rsidRPr="00B22EEF" w:rsidRDefault="00C97FC5" w:rsidP="00C97FC5">
                                      <w:pPr>
                                        <w:jc w:val="right"/>
                                        <w:rPr>
                                          <w:color w:val="2E74B5" w:themeColor="accent1" w:themeShade="BF"/>
                                          <w14:textOutline w14:w="9525" w14:cap="rnd" w14:cmpd="sng" w14:algn="ctr">
                                            <w14:solidFill>
                                              <w14:schemeClr w14:val="accent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:rsidR="00C97FC5" w:rsidRPr="00B22EEF" w:rsidRDefault="00C97FC5" w:rsidP="00C97FC5">
                                      <w:pPr>
                                        <w:jc w:val="right"/>
                                        <w:rPr>
                                          <w:rFonts w:ascii="Book Antiqua" w:hAnsi="Book Antiqua"/>
                                          <w:color w:val="2E74B5" w:themeColor="accent1" w:themeShade="BF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solidFill>
                                              <w14:schemeClr w14:val="accent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:rsidR="00C97FC5" w:rsidRPr="00B22EEF" w:rsidRDefault="00C97FC5">
                                      <w:pPr>
                                        <w:jc w:val="right"/>
                                        <w:rPr>
                                          <w:rFonts w:ascii="Book Antiqua" w:hAnsi="Book Antiqua"/>
                                          <w:color w:val="2E74B5" w:themeColor="accent1" w:themeShade="BF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solidFill>
                                              <w14:schemeClr w14:val="accent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:rsidR="00C97FC5" w:rsidRPr="00B22EEF" w:rsidRDefault="00C97FC5" w:rsidP="00C97FC5">
                                      <w:pPr>
                                        <w:pStyle w:val="NoSpacing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2E74B5" w:themeColor="accent1" w:themeShade="BF"/>
                                          <w:sz w:val="72"/>
                                          <w:szCs w:val="72"/>
                                          <w14:textOutline w14:w="9525" w14:cap="rnd" w14:cmpd="sng" w14:algn="ctr">
                                            <w14:solidFill>
                                              <w14:schemeClr w14:val="accent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Book Antiqua" w:hAnsi="Book Antiqua"/>
                                          <w:color w:val="808080" w:themeColor="background1" w:themeShade="80"/>
                                          <w:sz w:val="96"/>
                                          <w:szCs w:val="96"/>
                                          <w14:textOutline w14:w="9525" w14:cap="rnd" w14:cmpd="sng" w14:algn="ctr">
                                            <w14:solidFill>
                                              <w14:schemeClr w14:val="bg1">
                                                <w14:lumMod w14:val="5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97FC5" w:rsidRPr="004D0F69" w:rsidRDefault="005D595D" w:rsidP="00CC2B12">
                                          <w:pPr>
                                            <w:rPr>
                                              <w:rFonts w:ascii="Book Antiqua" w:hAnsi="Book Antiqua"/>
                                              <w:color w:val="2E74B5" w:themeColor="accent1" w:themeShade="BF"/>
                                              <w:sz w:val="96"/>
                                              <w:szCs w:val="96"/>
                                              <w14:textOutline w14:w="9525" w14:cap="rnd" w14:cmpd="sng" w14:algn="ctr">
                                                <w14:solidFill>
                                                  <w14:schemeClr w14:val="accent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 w:rsidRPr="00CC2B12">
                                            <w:rPr>
                                              <w:rFonts w:ascii="Book Antiqua" w:hAnsi="Book Antiqua"/>
                                              <w:color w:val="808080" w:themeColor="background1" w:themeShade="80"/>
                                              <w:sz w:val="96"/>
                                              <w:szCs w:val="96"/>
                                              <w14:textOutline w14:w="9525" w14:cap="rnd" w14:cmpd="sng" w14:algn="ctr">
                                                <w14:solidFill>
                                                  <w14:schemeClr w14:val="bg1">
                                                    <w14:lumMod w14:val="50000"/>
                                                  </w14:schemeClr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Dokument</w:t>
                                          </w:r>
                                          <w:r w:rsidR="00A35D18">
                                            <w:rPr>
                                              <w:rFonts w:ascii="Book Antiqua" w:hAnsi="Book Antiqua"/>
                                              <w:color w:val="808080" w:themeColor="background1" w:themeShade="80"/>
                                              <w:sz w:val="96"/>
                                              <w:szCs w:val="96"/>
                                              <w14:textOutline w14:w="9525" w14:cap="rnd" w14:cmpd="sng" w14:algn="ctr">
                                                <w14:solidFill>
                                                  <w14:schemeClr w14:val="bg1">
                                                    <w14:lumMod w14:val="50000"/>
                                                  </w14:schemeClr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 xml:space="preserve"> sa objašnjenjima</w:t>
                                          </w:r>
                                          <w:r w:rsidR="00CC2B12">
                                            <w:rPr>
                                              <w:rFonts w:ascii="Book Antiqua" w:hAnsi="Book Antiqua"/>
                                              <w:color w:val="808080" w:themeColor="background1" w:themeShade="80"/>
                                              <w:sz w:val="96"/>
                                              <w:szCs w:val="96"/>
                                              <w14:textOutline w14:w="9525" w14:cap="rnd" w14:cmpd="sng" w14:algn="ctr">
                                                <w14:solidFill>
                                                  <w14:schemeClr w14:val="bg1">
                                                    <w14:lumMod w14:val="50000"/>
                                                  </w14:schemeClr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 xml:space="preserve"> regionalne politike u Evropskoj uniji</w:t>
                                          </w:r>
                                          <w:r w:rsidRPr="00CC2B12">
                                            <w:rPr>
                                              <w:rFonts w:ascii="Book Antiqua" w:hAnsi="Book Antiqua"/>
                                              <w:color w:val="808080" w:themeColor="background1" w:themeShade="80"/>
                                              <w:sz w:val="96"/>
                                              <w:szCs w:val="96"/>
                                              <w14:textOutline w14:w="9525" w14:cap="rnd" w14:cmpd="sng" w14:algn="ctr">
                                                <w14:solidFill>
                                                  <w14:schemeClr w14:val="bg1">
                                                    <w14:lumMod w14:val="50000"/>
                                                  </w14:schemeClr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C97FC5" w:rsidRDefault="00C97FC5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                         </w:t>
                                      </w:r>
                                      <w:r w:rsidRPr="00C97FC5">
                                        <w:rPr>
                                          <w:noProof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0AE28169" wp14:editId="2E8B3EAF">
                                            <wp:extent cx="1171575" cy="952500"/>
                                            <wp:effectExtent l="0" t="0" r="9525" b="0"/>
                                            <wp:docPr id="9" name="Picture 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171575" cy="952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</w:rPr>
                                      </w:pP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REPUBLIKA E KOSOVËS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REPUBLIKA KOSOVA-REPUBLIC OF KOSOVO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QEVERIA - VLADA – GOVERNMENT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MINISTRIA E ZHVILLIMIT RAJONAL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MINISTARSTVO ZA REGIONALNI RAZVOJ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jc w:val="center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F77310">
                                        <w:rPr>
                                          <w:rFonts w:ascii="Book Antiqua" w:hAnsi="Book Antiqua"/>
                                          <w:caps/>
                                          <w:noProof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MINISTRY OF REGIONAL DEVELOPMENT</w:t>
                                      </w:r>
                                    </w:p>
                                    <w:p w:rsidR="00C97FC5" w:rsidRPr="00F77310" w:rsidRDefault="00C97FC5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14:textOutline w14:w="9525" w14:cap="rnd" w14:cmpd="sng" w14:algn="ctr"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:rsidR="00C97FC5" w:rsidRDefault="00C97FC5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B22EEF" w:rsidRDefault="00B22EEF" w:rsidP="00C97FC5">
                                      <w:pPr>
                                        <w:pStyle w:val="NoSpacing"/>
                                        <w:rPr>
                                          <w:caps/>
                                          <w:noProof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Book Antiqua" w:hAnsi="Book Antiqua"/>
                                          <w:color w:val="525252" w:themeColor="accent3" w:themeShade="80"/>
                                          <w:sz w:val="40"/>
                                          <w:szCs w:val="40"/>
                                          <w14:textOutline w14:w="9525" w14:cap="rnd" w14:cmpd="sng" w14:algn="ctr">
                                            <w14:solidFill>
                                              <w14:schemeClr w14:val="tx2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C97FC5" w:rsidRPr="00F77310" w:rsidRDefault="00CC2B12" w:rsidP="00F77310">
                                          <w:pPr>
                                            <w:rPr>
                                              <w:rFonts w:ascii="Book Antiqua" w:hAnsi="Book Antiqua"/>
                                              <w:color w:val="525252" w:themeColor="accent3" w:themeShade="80"/>
                                              <w:sz w:val="40"/>
                                              <w:szCs w:val="40"/>
                                              <w14:textOutline w14:w="9525" w14:cap="rnd" w14:cmpd="sng" w14:algn="ctr">
                                                <w14:solidFill>
                                                  <w14:schemeClr w14:val="tx2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>
                                            <w:rPr>
                                              <w:rFonts w:ascii="Book Antiqua" w:hAnsi="Book Antiqua"/>
                                              <w:color w:val="525252" w:themeColor="accent3" w:themeShade="80"/>
                                              <w:sz w:val="40"/>
                                              <w:szCs w:val="40"/>
                                              <w14:textOutline w14:w="9525" w14:cap="rnd" w14:cmpd="sng" w14:algn="ctr">
                                                <w14:solidFill>
                                                  <w14:schemeClr w14:val="tx2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ODELJENJE ZA EVROPSKE INTEGRACIJE I KOORDINACIJU POLITIKA</w:t>
                                          </w:r>
                                        </w:p>
                                      </w:sdtContent>
                                    </w:sdt>
                                    <w:p w:rsidR="007C6EE3" w:rsidRDefault="007C6EE3" w:rsidP="00C97FC5">
                                      <w:pPr>
                                        <w:pStyle w:val="NoSpacing"/>
                                      </w:pPr>
                                    </w:p>
                                    <w:p w:rsidR="00C97FC5" w:rsidRPr="007C6EE3" w:rsidRDefault="00CC2B12" w:rsidP="00C97FC5">
                                      <w:pPr>
                                        <w:pStyle w:val="NoSpacing"/>
                                        <w:rPr>
                                          <w:rFonts w:ascii="Book Antiqua" w:hAnsi="Book Antiqua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Book Antiqua" w:hAnsi="Book Antiqua"/>
                                          <w:sz w:val="32"/>
                                          <w:szCs w:val="32"/>
                                        </w:rPr>
                                        <w:t>Jun</w:t>
                                      </w:r>
                                      <w:r w:rsidR="00A60C9D" w:rsidRPr="007C6EE3">
                                        <w:rPr>
                                          <w:rFonts w:ascii="Book Antiqua" w:hAnsi="Book Antiqua"/>
                                          <w:sz w:val="32"/>
                                          <w:szCs w:val="32"/>
                                        </w:rPr>
                                        <w:t xml:space="preserve"> 2020</w:t>
                                      </w:r>
                                      <w:r>
                                        <w:rPr>
                                          <w:rFonts w:ascii="Book Antiqua" w:hAnsi="Book Antiqua"/>
                                          <w:sz w:val="32"/>
                                          <w:szCs w:val="32"/>
                                        </w:rPr>
                                        <w:t>.</w:t>
                                      </w:r>
                                    </w:p>
                                  </w:tc>
                                </w:tr>
                              </w:tbl>
                              <w:p w:rsidR="00C97FC5" w:rsidRDefault="00C97FC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17.25pt;margin-top:0;width:576.55pt;height:62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" fillcolor="white [3201]" stroked="f" strokeweight=".5pt">
                    <v:textbox inset="0,0,0,0">
                      <w:txbxContent>
                        <w:p w:rsidR="00C97FC5" w:rsidRDefault="00C97FC5"/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520"/>
                            <w:gridCol w:w="5719"/>
                          </w:tblGrid>
                          <w:tr w:rsidR="00C97FC5" w:rsidTr="000F087C">
                            <w:trPr>
                              <w:trHeight w:val="10674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C97FC5" w:rsidRPr="00B22EEF" w:rsidRDefault="00C97FC5" w:rsidP="00C97FC5">
                                <w:pPr>
                                  <w:jc w:val="center"/>
                                  <w:rPr>
                                    <w:color w:val="2E74B5" w:themeColor="accent1" w:themeShade="BF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97FC5" w:rsidRPr="00B22EEF" w:rsidRDefault="00C97FC5" w:rsidP="00C97FC5">
                                <w:pPr>
                                  <w:jc w:val="right"/>
                                  <w:rPr>
                                    <w:color w:val="2E74B5" w:themeColor="accent1" w:themeShade="BF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97FC5" w:rsidRPr="00B22EEF" w:rsidRDefault="00C97FC5" w:rsidP="00C97FC5">
                                <w:pPr>
                                  <w:jc w:val="right"/>
                                  <w:rPr>
                                    <w:rFonts w:ascii="Book Antiqua" w:hAnsi="Book Antiqua"/>
                                    <w:color w:val="2E74B5" w:themeColor="accent1" w:themeShade="BF"/>
                                    <w:sz w:val="20"/>
                                    <w:szCs w:val="20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97FC5" w:rsidRPr="00B22EEF" w:rsidRDefault="00C97FC5">
                                <w:pPr>
                                  <w:jc w:val="right"/>
                                  <w:rPr>
                                    <w:rFonts w:ascii="Book Antiqua" w:hAnsi="Book Antiqua"/>
                                    <w:color w:val="2E74B5" w:themeColor="accent1" w:themeShade="BF"/>
                                    <w:sz w:val="20"/>
                                    <w:szCs w:val="20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97FC5" w:rsidRPr="00B22EEF" w:rsidRDefault="00C97FC5" w:rsidP="00C97FC5">
                                <w:pPr>
                                  <w:pStyle w:val="NoSpacing"/>
                                  <w:spacing w:line="312" w:lineRule="auto"/>
                                  <w:jc w:val="right"/>
                                  <w:rPr>
                                    <w:caps/>
                                    <w:color w:val="2E74B5" w:themeColor="accent1" w:themeShade="BF"/>
                                    <w:sz w:val="72"/>
                                    <w:szCs w:val="72"/>
                                    <w14:textOutline w14:w="9525" w14:cap="rnd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Book Antiqua" w:hAnsi="Book Antiqua"/>
                                    <w:color w:val="808080" w:themeColor="background1" w:themeShade="80"/>
                                    <w:sz w:val="96"/>
                                    <w:szCs w:val="96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97FC5" w:rsidRPr="004D0F69" w:rsidRDefault="005D595D" w:rsidP="00CC2B12">
                                    <w:pPr>
                                      <w:rPr>
                                        <w:rFonts w:ascii="Book Antiqua" w:hAnsi="Book Antiqua"/>
                                        <w:color w:val="2E74B5" w:themeColor="accent1" w:themeShade="BF"/>
                                        <w:sz w:val="96"/>
                                        <w:szCs w:val="96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CC2B12">
                                      <w:rPr>
                                        <w:rFonts w:ascii="Book Antiqua" w:hAnsi="Book Antiqua"/>
                                        <w:color w:val="808080" w:themeColor="background1" w:themeShade="80"/>
                                        <w:sz w:val="96"/>
                                        <w:szCs w:val="96"/>
                                        <w14:textOutline w14:w="9525" w14:cap="rnd" w14:cmpd="sng" w14:algn="ctr">
                                          <w14:solidFill>
                                            <w14:schemeClr w14:val="bg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Dokument</w:t>
                                    </w:r>
                                    <w:r w:rsidR="00A35D18">
                                      <w:rPr>
                                        <w:rFonts w:ascii="Book Antiqua" w:hAnsi="Book Antiqua"/>
                                        <w:color w:val="808080" w:themeColor="background1" w:themeShade="80"/>
                                        <w:sz w:val="96"/>
                                        <w:szCs w:val="96"/>
                                        <w14:textOutline w14:w="9525" w14:cap="rnd" w14:cmpd="sng" w14:algn="ctr">
                                          <w14:solidFill>
                                            <w14:schemeClr w14:val="bg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sa objašnjenjima</w:t>
                                    </w:r>
                                    <w:r w:rsidR="00CC2B12">
                                      <w:rPr>
                                        <w:rFonts w:ascii="Book Antiqua" w:hAnsi="Book Antiqua"/>
                                        <w:color w:val="808080" w:themeColor="background1" w:themeShade="80"/>
                                        <w:sz w:val="96"/>
                                        <w:szCs w:val="96"/>
                                        <w14:textOutline w14:w="9525" w14:cap="rnd" w14:cmpd="sng" w14:algn="ctr">
                                          <w14:solidFill>
                                            <w14:schemeClr w14:val="bg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regionalne politike u Evropskoj uniji</w:t>
                                    </w:r>
                                    <w:r w:rsidRPr="00CC2B12">
                                      <w:rPr>
                                        <w:rFonts w:ascii="Book Antiqua" w:hAnsi="Book Antiqua"/>
                                        <w:color w:val="808080" w:themeColor="background1" w:themeShade="80"/>
                                        <w:sz w:val="96"/>
                                        <w:szCs w:val="96"/>
                                        <w14:textOutline w14:w="9525" w14:cap="rnd" w14:cmpd="sng" w14:algn="ctr">
                                          <w14:solidFill>
                                            <w14:schemeClr w14:val="bg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C97FC5" w:rsidRDefault="00C97FC5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                         </w:t>
                                </w:r>
                                <w:r w:rsidRPr="00C97FC5"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0AE28169" wp14:editId="2E8B3EAF">
                                      <wp:extent cx="1171575" cy="952500"/>
                                      <wp:effectExtent l="0" t="0" r="9525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157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</w:rPr>
                                </w:pP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REPUBLIKA E KOSOVËS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REPUBLIKA KOSOVA-REPUBLIC OF KOSOVO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QEVERIA - VLADA – GOVERNMENT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MINISTRIA E ZHVILLIMIT RAJONAL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MINISTARSTVO ZA REGIONALNI RAZVOJ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jc w:val="center"/>
                                  <w:rPr>
                                    <w:caps/>
                                    <w:noProof/>
                                    <w:color w:val="ED7D31" w:themeColor="accent2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77310">
                                  <w:rPr>
                                    <w:rFonts w:ascii="Book Antiqua" w:hAnsi="Book Antiqua"/>
                                    <w:caps/>
                                    <w:noProof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MINISTRY OF REGIONAL DEVELOPMENT</w:t>
                                </w:r>
                              </w:p>
                              <w:p w:rsidR="00C97FC5" w:rsidRPr="00F77310" w:rsidRDefault="00C97FC5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97FC5" w:rsidRDefault="00C97FC5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22EEF" w:rsidRDefault="00B22EEF" w:rsidP="00C97FC5">
                                <w:pPr>
                                  <w:pStyle w:val="NoSpacing"/>
                                  <w:rPr>
                                    <w:caps/>
                                    <w:noProof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Book Antiqua" w:hAnsi="Book Antiqua"/>
                                    <w:color w:val="525252" w:themeColor="accent3" w:themeShade="80"/>
                                    <w:sz w:val="40"/>
                                    <w:szCs w:val="40"/>
                                    <w14:textOutline w14:w="9525" w14:cap="rnd" w14:cmpd="sng" w14:algn="ctr">
                                      <w14:solidFill>
                                        <w14:schemeClr w14:val="tx2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C97FC5" w:rsidRPr="00F77310" w:rsidRDefault="00CC2B12" w:rsidP="00F77310">
                                    <w:pPr>
                                      <w:rPr>
                                        <w:rFonts w:ascii="Book Antiqua" w:hAnsi="Book Antiqua"/>
                                        <w:color w:val="525252" w:themeColor="accent3" w:themeShade="80"/>
                                        <w:sz w:val="40"/>
                                        <w:szCs w:val="40"/>
                                        <w14:textOutline w14:w="9525" w14:cap="rnd" w14:cmpd="sng" w14:algn="ctr">
                                          <w14:solidFill>
                                            <w14:schemeClr w14:val="tx2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color w:val="525252" w:themeColor="accent3" w:themeShade="80"/>
                                        <w:sz w:val="40"/>
                                        <w:szCs w:val="40"/>
                                        <w14:textOutline w14:w="9525" w14:cap="rnd" w14:cmpd="sng" w14:algn="ctr">
                                          <w14:solidFill>
                                            <w14:schemeClr w14:val="tx2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ODELJENJE ZA EVROPSKE INTEGRACIJE I KOORDINACIJU POLITIKA</w:t>
                                    </w:r>
                                  </w:p>
                                </w:sdtContent>
                              </w:sdt>
                              <w:p w:rsidR="007C6EE3" w:rsidRDefault="007C6EE3" w:rsidP="00C97FC5">
                                <w:pPr>
                                  <w:pStyle w:val="NoSpacing"/>
                                </w:pPr>
                              </w:p>
                              <w:p w:rsidR="00C97FC5" w:rsidRPr="007C6EE3" w:rsidRDefault="00CC2B12" w:rsidP="00C97FC5">
                                <w:pPr>
                                  <w:pStyle w:val="NoSpacing"/>
                                  <w:rPr>
                                    <w:rFonts w:ascii="Book Antiqua" w:hAnsi="Book Antiqu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32"/>
                                    <w:szCs w:val="32"/>
                                  </w:rPr>
                                  <w:t>Jun</w:t>
                                </w:r>
                                <w:r w:rsidR="00A60C9D" w:rsidRPr="007C6EE3">
                                  <w:rPr>
                                    <w:rFonts w:ascii="Book Antiqua" w:hAnsi="Book Antiqua"/>
                                    <w:sz w:val="32"/>
                                    <w:szCs w:val="32"/>
                                  </w:rPr>
                                  <w:t xml:space="preserve"> 2020</w:t>
                                </w:r>
                                <w:r>
                                  <w:rPr>
                                    <w:rFonts w:ascii="Book Antiqua" w:hAnsi="Book Antiqua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:rsidR="00C97FC5" w:rsidRDefault="00C97FC5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680B44">
            <w:rPr>
              <w:rFonts w:ascii="Book Antiqua" w:eastAsia="Times New Roman" w:hAnsi="Book Antiqua" w:cstheme="majorHAnsi"/>
              <w:b/>
              <w:bCs/>
              <w:sz w:val="22"/>
              <w:szCs w:val="22"/>
            </w:rPr>
            <w:br w:type="page"/>
          </w:r>
        </w:p>
      </w:sdtContent>
    </w:sdt>
    <w:p w:rsidR="003A45D3" w:rsidRPr="00680B44" w:rsidRDefault="003A45D3" w:rsidP="000E274B">
      <w:pPr>
        <w:jc w:val="both"/>
        <w:rPr>
          <w:rFonts w:ascii="Book Antiqua" w:hAnsi="Book Antiqua"/>
          <w:b/>
          <w:sz w:val="28"/>
          <w:szCs w:val="28"/>
        </w:rPr>
      </w:pPr>
    </w:p>
    <w:p w:rsidR="00662BA9" w:rsidRPr="00680B44" w:rsidRDefault="00662BA9" w:rsidP="000E274B">
      <w:pPr>
        <w:jc w:val="both"/>
        <w:rPr>
          <w:rFonts w:ascii="Book Antiqua" w:hAnsi="Book Antiqua"/>
          <w:b/>
          <w:sz w:val="28"/>
          <w:szCs w:val="28"/>
        </w:rPr>
      </w:pPr>
    </w:p>
    <w:p w:rsidR="00662BA9" w:rsidRPr="00680B44" w:rsidRDefault="00662BA9" w:rsidP="00F50366">
      <w:pPr>
        <w:spacing w:line="276" w:lineRule="auto"/>
        <w:jc w:val="both"/>
        <w:rPr>
          <w:rFonts w:ascii="Book Antiqua" w:hAnsi="Book Antiqua"/>
          <w:b/>
          <w:sz w:val="28"/>
          <w:szCs w:val="28"/>
        </w:rPr>
      </w:pPr>
    </w:p>
    <w:p w:rsidR="00662BA9" w:rsidRPr="00680B44" w:rsidRDefault="00662BA9" w:rsidP="00F50366">
      <w:pPr>
        <w:spacing w:line="276" w:lineRule="auto"/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662BA9" w:rsidRPr="00680B44" w:rsidRDefault="00662BA9" w:rsidP="00F50366">
      <w:pPr>
        <w:spacing w:line="276" w:lineRule="auto"/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3A45D3" w:rsidRPr="00680B44" w:rsidRDefault="00CC2B12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Sadržaj</w:t>
      </w:r>
      <w:r w:rsidR="00FC3B0A"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 : </w:t>
      </w:r>
      <w:r w:rsidR="003A45D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</w:t>
      </w:r>
      <w:r w:rsidR="003A45D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...................................................................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</w:t>
      </w:r>
      <w:r w:rsidR="00431A83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FC3B0A" w:rsidRPr="00680B44">
        <w:rPr>
          <w:rFonts w:ascii="Book Antiqua" w:hAnsi="Book Antiqua"/>
          <w:b/>
          <w:color w:val="000000" w:themeColor="text1"/>
          <w:sz w:val="28"/>
          <w:szCs w:val="28"/>
        </w:rPr>
        <w:t>.1</w:t>
      </w:r>
    </w:p>
    <w:p w:rsidR="003A45D3" w:rsidRPr="00680B44" w:rsidRDefault="003A45D3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28524C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I</w:t>
      </w:r>
      <w:r w:rsidR="008D3DA4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CC2B12" w:rsidRPr="00680B44">
        <w:rPr>
          <w:rFonts w:ascii="Book Antiqua" w:hAnsi="Book Antiqua"/>
          <w:b/>
          <w:color w:val="000000" w:themeColor="text1"/>
          <w:sz w:val="28"/>
          <w:szCs w:val="28"/>
        </w:rPr>
        <w:t>Uvod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.........................................................................................................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</w:t>
      </w:r>
      <w:r w:rsidR="00A85B01" w:rsidRPr="00680B44">
        <w:rPr>
          <w:rFonts w:ascii="Book Antiqua" w:hAnsi="Book Antiqua"/>
          <w:b/>
          <w:color w:val="000000" w:themeColor="text1"/>
          <w:sz w:val="28"/>
          <w:szCs w:val="28"/>
        </w:rPr>
        <w:t>2</w:t>
      </w:r>
    </w:p>
    <w:p w:rsidR="0028524C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28524C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II</w:t>
      </w:r>
      <w:r w:rsidR="008D3DA4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Pojmovi regionalnog razvoja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</w:t>
      </w:r>
      <w:r w:rsidR="00B1335D" w:rsidRPr="00680B44">
        <w:rPr>
          <w:rFonts w:ascii="Book Antiqua" w:hAnsi="Book Antiqua"/>
          <w:b/>
          <w:color w:val="000000" w:themeColor="text1"/>
          <w:sz w:val="28"/>
          <w:szCs w:val="28"/>
        </w:rPr>
        <w:t>...</w:t>
      </w:r>
      <w:r w:rsidR="00A85B01" w:rsidRPr="00680B44">
        <w:rPr>
          <w:rFonts w:ascii="Book Antiqua" w:hAnsi="Book Antiqua"/>
          <w:b/>
          <w:color w:val="000000" w:themeColor="text1"/>
          <w:sz w:val="28"/>
          <w:szCs w:val="28"/>
        </w:rPr>
        <w:t>3</w:t>
      </w:r>
    </w:p>
    <w:p w:rsidR="0028524C" w:rsidRPr="00680B44" w:rsidRDefault="0028524C" w:rsidP="00F50366">
      <w:pPr>
        <w:pStyle w:val="ListParagraph"/>
        <w:spacing w:line="276" w:lineRule="auto"/>
        <w:ind w:left="1080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28524C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III</w:t>
      </w:r>
      <w:r w:rsidR="008D3DA4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CF0414"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Regionalno ekonomsko planiranje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</w:t>
      </w:r>
      <w:r w:rsidR="005B5713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B1335D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A85B01" w:rsidRPr="00680B44">
        <w:rPr>
          <w:rFonts w:ascii="Book Antiqua" w:hAnsi="Book Antiqua"/>
          <w:b/>
          <w:color w:val="000000" w:themeColor="text1"/>
          <w:sz w:val="28"/>
          <w:szCs w:val="28"/>
        </w:rPr>
        <w:t>4</w:t>
      </w:r>
    </w:p>
    <w:p w:rsidR="0028524C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3A45D3" w:rsidRPr="00680B44" w:rsidRDefault="0028524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IV 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Koncepat........</w:t>
      </w:r>
      <w:r w:rsidR="003A45D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..............................................................................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</w:t>
      </w:r>
      <w:r w:rsidR="00E74115" w:rsidRPr="00680B44">
        <w:rPr>
          <w:rFonts w:ascii="Book Antiqua" w:hAnsi="Book Antiqua"/>
          <w:b/>
          <w:color w:val="000000" w:themeColor="text1"/>
          <w:sz w:val="28"/>
          <w:szCs w:val="28"/>
        </w:rPr>
        <w:t>5</w:t>
      </w:r>
    </w:p>
    <w:p w:rsidR="000D542D" w:rsidRPr="00680B44" w:rsidRDefault="000D542D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0D542D" w:rsidRPr="00680B44" w:rsidRDefault="00802027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V</w:t>
      </w:r>
      <w:r w:rsidR="001929AF"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. 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Ciljevi……</w:t>
      </w:r>
      <w:r w:rsidR="000D542D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</w:t>
      </w:r>
      <w:r w:rsidR="000F0502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</w:t>
      </w:r>
      <w:r w:rsidR="00431A83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E74115" w:rsidRPr="00680B44">
        <w:rPr>
          <w:rFonts w:ascii="Book Antiqua" w:hAnsi="Book Antiqua"/>
          <w:b/>
          <w:color w:val="000000" w:themeColor="text1"/>
          <w:sz w:val="28"/>
          <w:szCs w:val="28"/>
        </w:rPr>
        <w:t>6</w:t>
      </w:r>
    </w:p>
    <w:p w:rsidR="003A45D3" w:rsidRPr="00680B44" w:rsidRDefault="003A45D3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00583B" w:rsidRPr="00680B44" w:rsidRDefault="00802027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VI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. Prioriteti</w:t>
      </w:r>
      <w:r w:rsidR="003A45D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3A45D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</w:t>
      </w:r>
      <w:r w:rsidR="000F0502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</w:t>
      </w:r>
      <w:r w:rsidR="00431A83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0F0502" w:rsidRPr="00680B44">
        <w:rPr>
          <w:rFonts w:ascii="Book Antiqua" w:hAnsi="Book Antiqua"/>
          <w:b/>
          <w:color w:val="000000" w:themeColor="text1"/>
          <w:sz w:val="28"/>
          <w:szCs w:val="28"/>
        </w:rPr>
        <w:t>.7</w:t>
      </w:r>
    </w:p>
    <w:p w:rsidR="003A45D3" w:rsidRPr="00680B44" w:rsidRDefault="003A45D3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DD02BF" w:rsidRPr="00680B44" w:rsidRDefault="00802027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VII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. Programi..</w:t>
      </w:r>
      <w:r w:rsidR="00431A83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.......................................................................</w:t>
      </w:r>
      <w:r w:rsidR="00F25CC6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</w:t>
      </w:r>
      <w:r w:rsidR="008426E6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F25CC6" w:rsidRPr="00680B44">
        <w:rPr>
          <w:rFonts w:ascii="Book Antiqua" w:hAnsi="Book Antiqua"/>
          <w:b/>
          <w:color w:val="000000" w:themeColor="text1"/>
          <w:sz w:val="28"/>
          <w:szCs w:val="28"/>
        </w:rPr>
        <w:t>....</w:t>
      </w:r>
      <w:r w:rsidR="00E153D9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F25CC6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.............9</w:t>
      </w:r>
    </w:p>
    <w:p w:rsidR="00463E5C" w:rsidRPr="00680B44" w:rsidRDefault="00463E5C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463E5C" w:rsidRPr="00680B44" w:rsidRDefault="00666067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VII</w:t>
      </w:r>
      <w:r w:rsidR="005D4DAB" w:rsidRPr="00680B44">
        <w:rPr>
          <w:rFonts w:ascii="Book Antiqua" w:hAnsi="Book Antiqua"/>
          <w:b/>
          <w:color w:val="000000" w:themeColor="text1"/>
          <w:sz w:val="28"/>
          <w:szCs w:val="28"/>
        </w:rPr>
        <w:t>I</w:t>
      </w: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. Nuts 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(statistički regioni</w:t>
      </w:r>
      <w:r w:rsidR="005D4DAB" w:rsidRPr="00680B44">
        <w:rPr>
          <w:rFonts w:ascii="Book Antiqua" w:hAnsi="Book Antiqua"/>
          <w:b/>
          <w:color w:val="000000" w:themeColor="text1"/>
          <w:sz w:val="28"/>
          <w:szCs w:val="28"/>
        </w:rPr>
        <w:t>)</w:t>
      </w:r>
      <w:r w:rsidR="00463E5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...</w:t>
      </w:r>
      <w:r w:rsidR="00463E5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</w:t>
      </w:r>
      <w:r w:rsidR="00213347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</w:t>
      </w:r>
      <w:r w:rsidR="00463E5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............10</w:t>
      </w:r>
    </w:p>
    <w:p w:rsidR="00431A83" w:rsidRPr="00680B44" w:rsidRDefault="00431A83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5A18B1" w:rsidRPr="00680B44" w:rsidRDefault="002252B5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680B44">
        <w:rPr>
          <w:rFonts w:ascii="Book Antiqua" w:hAnsi="Book Antiqua"/>
          <w:b/>
          <w:color w:val="000000" w:themeColor="text1"/>
          <w:sz w:val="28"/>
          <w:szCs w:val="28"/>
        </w:rPr>
        <w:t>IX</w:t>
      </w:r>
      <w:r w:rsidR="001929AF" w:rsidRPr="00680B44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="00FE02FE" w:rsidRPr="00680B44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M</w:t>
      </w:r>
      <w:r w:rsidR="00922FFE" w:rsidRPr="00680B44">
        <w:rPr>
          <w:rFonts w:ascii="Book Antiqua" w:hAnsi="Book Antiqua"/>
          <w:b/>
          <w:color w:val="000000" w:themeColor="text1"/>
          <w:sz w:val="28"/>
          <w:szCs w:val="28"/>
        </w:rPr>
        <w:t>ogućnosti Kosova za uključivanje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....................................................</w:t>
      </w:r>
      <w:r w:rsidR="00AE58C1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BE6EEC" w:rsidRPr="00680B44">
        <w:rPr>
          <w:rFonts w:ascii="Book Antiqua" w:hAnsi="Book Antiqua"/>
          <w:b/>
          <w:color w:val="000000" w:themeColor="text1"/>
          <w:sz w:val="28"/>
          <w:szCs w:val="28"/>
        </w:rPr>
        <w:t>..</w:t>
      </w:r>
      <w:r w:rsidR="00463E5C" w:rsidRPr="00680B44">
        <w:rPr>
          <w:rFonts w:ascii="Book Antiqua" w:hAnsi="Book Antiqua"/>
          <w:b/>
          <w:color w:val="000000" w:themeColor="text1"/>
          <w:sz w:val="28"/>
          <w:szCs w:val="28"/>
        </w:rPr>
        <w:t>..12</w:t>
      </w:r>
    </w:p>
    <w:p w:rsidR="003A45D3" w:rsidRPr="00680B44" w:rsidRDefault="003A45D3" w:rsidP="00F50366">
      <w:pPr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3A45D3" w:rsidRPr="00680B44" w:rsidRDefault="003A45D3" w:rsidP="00F50366">
      <w:pPr>
        <w:spacing w:line="276" w:lineRule="auto"/>
        <w:rPr>
          <w:rFonts w:ascii="Book Antiqua" w:hAnsi="Book Antiqua"/>
          <w:color w:val="000000" w:themeColor="text1"/>
          <w:sz w:val="28"/>
          <w:szCs w:val="28"/>
        </w:rPr>
      </w:pPr>
    </w:p>
    <w:p w:rsidR="0000583B" w:rsidRPr="00680B44" w:rsidRDefault="0000583B" w:rsidP="00F50366">
      <w:pPr>
        <w:spacing w:line="276" w:lineRule="auto"/>
        <w:rPr>
          <w:rFonts w:ascii="Book Antiqua" w:hAnsi="Book Antiqua"/>
          <w:color w:val="000000" w:themeColor="text1"/>
          <w:sz w:val="28"/>
          <w:szCs w:val="28"/>
        </w:rPr>
      </w:pPr>
    </w:p>
    <w:p w:rsidR="0000583B" w:rsidRPr="00680B44" w:rsidRDefault="0000583B" w:rsidP="000E274B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:rsidR="0000583B" w:rsidRPr="00680B44" w:rsidRDefault="0000583B" w:rsidP="000E274B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:rsidR="00B739D4" w:rsidRPr="00680B44" w:rsidRDefault="00CC2B12" w:rsidP="00CD615D">
      <w:pPr>
        <w:keepNext/>
        <w:keepLines/>
        <w:spacing w:before="240" w:after="240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  <w:r w:rsidRPr="00680B44">
        <w:rPr>
          <w:rFonts w:ascii="Book Antiqua" w:eastAsia="MS Gothic" w:hAnsi="Book Antiqua"/>
          <w:b/>
          <w:sz w:val="28"/>
          <w:szCs w:val="28"/>
        </w:rPr>
        <w:lastRenderedPageBreak/>
        <w:t>Uvod</w:t>
      </w:r>
    </w:p>
    <w:p w:rsidR="009562A2" w:rsidRPr="00680B44" w:rsidRDefault="009562A2" w:rsidP="000B27A8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</w:p>
    <w:p w:rsidR="006D16A3" w:rsidRPr="00680B44" w:rsidRDefault="00DA7017" w:rsidP="000B27A8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Izrada </w:t>
      </w:r>
      <w:r w:rsidR="00410804" w:rsidRPr="00680B44">
        <w:rPr>
          <w:rFonts w:ascii="Book Antiqua" w:eastAsia="MS Gothic" w:hAnsi="Book Antiqua"/>
        </w:rPr>
        <w:t>dokumenta sa objašnjenjima o regionalnim politikama Evropske unije (EU)</w:t>
      </w:r>
      <w:r w:rsidR="008A32CF" w:rsidRPr="00680B44">
        <w:rPr>
          <w:rFonts w:ascii="Book Antiqua" w:eastAsia="MS Gothic" w:hAnsi="Book Antiqua"/>
        </w:rPr>
        <w:t xml:space="preserve">, pokušaće da objasni način na koji </w:t>
      </w:r>
      <w:r w:rsidR="00A35D18">
        <w:rPr>
          <w:rFonts w:ascii="Book Antiqua" w:eastAsia="MS Gothic" w:hAnsi="Book Antiqua"/>
        </w:rPr>
        <w:t xml:space="preserve">je </w:t>
      </w:r>
      <w:r w:rsidR="008A32CF" w:rsidRPr="00680B44">
        <w:rPr>
          <w:rFonts w:ascii="Book Antiqua" w:eastAsia="MS Gothic" w:hAnsi="Book Antiqua"/>
        </w:rPr>
        <w:t>EU pristupila izradi politika i utvrđivanju ciljeva, prioriteta, programa, raspodeli fondova u cilju razvoja manje razvijenih zemalja, kao što je Kosovo, i šire</w:t>
      </w:r>
      <w:r w:rsidR="0048601E" w:rsidRPr="00680B44">
        <w:rPr>
          <w:rFonts w:ascii="Book Antiqua" w:eastAsia="MS Gothic" w:hAnsi="Book Antiqua"/>
        </w:rPr>
        <w:t>.</w:t>
      </w:r>
    </w:p>
    <w:p w:rsidR="00E83FC4" w:rsidRPr="00680B44" w:rsidRDefault="008A32CF" w:rsidP="000B27A8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EU naročito namerava da pristupi regionalnom razvoju prema zemljama koje teže članstvu evropskoj porodici, uključujući ovde i Zapadni Balkan, čiji je deo i Kosovo.</w:t>
      </w:r>
      <w:r w:rsidR="00FC0D75" w:rsidRPr="00680B44">
        <w:rPr>
          <w:rFonts w:ascii="Book Antiqua" w:eastAsia="MS Gothic" w:hAnsi="Book Antiqua"/>
        </w:rPr>
        <w:t xml:space="preserve"> </w:t>
      </w:r>
    </w:p>
    <w:p w:rsidR="000F539A" w:rsidRPr="00680B44" w:rsidRDefault="00FC0D75" w:rsidP="000B27A8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Dokument</w:t>
      </w:r>
      <w:r w:rsidR="008A32CF" w:rsidRPr="00680B44">
        <w:rPr>
          <w:rFonts w:ascii="Book Antiqua" w:eastAsia="MS Gothic" w:hAnsi="Book Antiqua"/>
        </w:rPr>
        <w:t xml:space="preserve"> sa objašnjenjima za regionalne politike Evropske unije, odražava sprovođenje politika regionalnog razvoja, inkorporisanih kao</w:t>
      </w:r>
      <w:r w:rsidR="008D6E0C" w:rsidRPr="00680B44">
        <w:rPr>
          <w:rFonts w:ascii="Book Antiqua" w:eastAsia="MS Gothic" w:hAnsi="Book Antiqua"/>
        </w:rPr>
        <w:t>:</w:t>
      </w:r>
      <w:r w:rsidR="008A32CF" w:rsidRPr="00680B44">
        <w:rPr>
          <w:rFonts w:ascii="Book Antiqua" w:eastAsia="MS Gothic" w:hAnsi="Book Antiqua"/>
        </w:rPr>
        <w:t xml:space="preserve"> ciljevi, prioriteti i koncepti, koji pružaju jednake mogućnosti za ravnomerni regionalni razvoj</w:t>
      </w:r>
      <w:r w:rsidRPr="00680B44">
        <w:rPr>
          <w:rFonts w:ascii="Book Antiqua" w:eastAsia="MS Gothic" w:hAnsi="Book Antiqua"/>
        </w:rPr>
        <w:t>.</w:t>
      </w:r>
    </w:p>
    <w:p w:rsidR="003F796A" w:rsidRPr="00680B44" w:rsidRDefault="001A5CA1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Kosov</w:t>
      </w:r>
      <w:r w:rsidR="00F12507" w:rsidRPr="00680B44">
        <w:rPr>
          <w:rFonts w:ascii="Book Antiqua" w:eastAsia="MS Gothic" w:hAnsi="Book Antiqua"/>
        </w:rPr>
        <w:t>o, kao što je poznato, ušlo je u drugu dekadu svoje državnosti i, kao takva zemlja, potrebni su joj strani fondovi, kako bi povećala održivi ekonomski razvoj</w:t>
      </w:r>
      <w:r w:rsidR="00F02E44" w:rsidRPr="00680B44">
        <w:rPr>
          <w:rFonts w:ascii="Book Antiqua" w:eastAsia="MS Gothic" w:hAnsi="Book Antiqua"/>
        </w:rPr>
        <w:t>.</w:t>
      </w:r>
    </w:p>
    <w:p w:rsidR="0014230E" w:rsidRPr="00680B44" w:rsidRDefault="00F12507" w:rsidP="0014230E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Stoga, na osnovu toga, i Evropska unija kroz njene politike regionalnog razvoja, koncentrisana je na preduzimanju mera i instrumenata za podsticanje razvoja nerazvijenih regiona imajući u vidu ukupan razvoj nacionalne ekonomije</w:t>
      </w:r>
      <w:r w:rsidR="0014230E" w:rsidRPr="00680B44">
        <w:rPr>
          <w:rFonts w:ascii="Book Antiqua" w:eastAsia="MS Gothic" w:hAnsi="Book Antiqua"/>
        </w:rPr>
        <w:t>.</w:t>
      </w:r>
    </w:p>
    <w:p w:rsidR="003F796A" w:rsidRPr="00680B44" w:rsidRDefault="00F12507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Dakle, u kontekstu u kom govorimo, regionalni razvoj </w:t>
      </w:r>
      <w:r w:rsidR="00D37C96" w:rsidRPr="00680B44">
        <w:rPr>
          <w:rFonts w:ascii="Book Antiqua" w:eastAsia="MS Gothic" w:hAnsi="Book Antiqua"/>
        </w:rPr>
        <w:t>je osmišljen kao opšti napor za smanjenje regionalnih nejednakosti, kroz podršku (zapošljavanje i generisanje bogatstva/blagostanja) ekonomskim aktivnostima u razvojnim ekonomskim regionima</w:t>
      </w:r>
      <w:r w:rsidR="00B274C9" w:rsidRPr="00680B44">
        <w:rPr>
          <w:rFonts w:ascii="Book Antiqua" w:eastAsia="MS Gothic" w:hAnsi="Book Antiqua"/>
        </w:rPr>
        <w:t xml:space="preserve">.  </w:t>
      </w:r>
    </w:p>
    <w:p w:rsidR="00F02E44" w:rsidRPr="00680B44" w:rsidRDefault="00F02E44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</w:p>
    <w:p w:rsidR="00061F68" w:rsidRPr="00680B44" w:rsidRDefault="00061F68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</w:p>
    <w:p w:rsidR="00D37C96" w:rsidRPr="00680B44" w:rsidRDefault="00D37C96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</w:p>
    <w:p w:rsidR="00D37C96" w:rsidRPr="00680B44" w:rsidRDefault="00D37C96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</w:p>
    <w:p w:rsidR="001D4559" w:rsidRPr="00680B44" w:rsidRDefault="00D37C96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  <w:r w:rsidRPr="00680B44">
        <w:rPr>
          <w:rFonts w:ascii="Book Antiqua" w:eastAsia="MS Gothic" w:hAnsi="Book Antiqua"/>
          <w:b/>
          <w:sz w:val="28"/>
          <w:szCs w:val="28"/>
        </w:rPr>
        <w:lastRenderedPageBreak/>
        <w:t xml:space="preserve">Pojmovi regionalnog razvoja </w:t>
      </w:r>
      <w:r w:rsidR="001D4559" w:rsidRPr="00680B44">
        <w:rPr>
          <w:rFonts w:ascii="Book Antiqua" w:eastAsia="MS Gothic" w:hAnsi="Book Antiqua"/>
          <w:b/>
          <w:sz w:val="28"/>
          <w:szCs w:val="28"/>
        </w:rPr>
        <w:t>-</w:t>
      </w:r>
    </w:p>
    <w:p w:rsidR="00CD615D" w:rsidRPr="00680B44" w:rsidRDefault="00D37C96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U savremenim uslovima ekonomskog razvoja, politika regionalnog razvoja sve više postaje aktuelna i sastavni deo ekonomske razvojne politike. Pre svega, u sadašnjoj situaciji u kojoj se nalazi nivo regionalnog razvoja, ne može se tolerisati koncentracija ekonomskih i društvenih aktivnosti samo </w:t>
      </w:r>
      <w:r w:rsidR="008E640E" w:rsidRPr="00680B44">
        <w:rPr>
          <w:rFonts w:ascii="Book Antiqua" w:eastAsia="MS Gothic" w:hAnsi="Book Antiqua"/>
        </w:rPr>
        <w:t>u nekoliko velikih centara, već je potrebno uraditi raspodelu proizvođačke snage, potrebno je balansirati i nivo investicionog, infrastrukturnog, ekonomskog razvoja na čitavoj teritoriji Kosova</w:t>
      </w:r>
      <w:r w:rsidR="00CD615D" w:rsidRPr="00680B44">
        <w:rPr>
          <w:rFonts w:ascii="Book Antiqua" w:eastAsia="MS Gothic" w:hAnsi="Book Antiqua"/>
        </w:rPr>
        <w:t xml:space="preserve">. </w:t>
      </w:r>
      <w:r w:rsidR="0074486C" w:rsidRPr="00680B44">
        <w:rPr>
          <w:rFonts w:ascii="Book Antiqua" w:eastAsia="MS Gothic" w:hAnsi="Book Antiqua"/>
        </w:rPr>
        <w:t>Velike razlike ili razvojne nejednakosti donose velike poremećaje ne samo u ekonomskoj oblasti, već i u svim drugim sferama života, jer nedostatak razvoja ima direktnih implikacija na život i životni standard stanovništva</w:t>
      </w:r>
      <w:r w:rsidR="0095726A" w:rsidRPr="00680B44">
        <w:rPr>
          <w:rFonts w:ascii="Book Antiqua" w:eastAsia="MS Gothic" w:hAnsi="Book Antiqua"/>
        </w:rPr>
        <w:t>.</w:t>
      </w:r>
      <w:r w:rsidR="00CD615D" w:rsidRPr="00680B44">
        <w:rPr>
          <w:rFonts w:ascii="Book Antiqua" w:eastAsia="MS Gothic" w:hAnsi="Book Antiqua"/>
        </w:rPr>
        <w:t xml:space="preserve"> </w:t>
      </w:r>
    </w:p>
    <w:p w:rsidR="00CD615D" w:rsidRPr="00680B44" w:rsidRDefault="0074486C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Danas u literaturi, ili preciznije rečeno u raznim zvaničnim izveštajima koji se odnose na oblast regionalnog razvoja, nailazimo na različita mišljenja oko shvatanja i značaja re</w:t>
      </w:r>
      <w:r w:rsidR="00A35D18">
        <w:rPr>
          <w:rFonts w:ascii="Book Antiqua" w:eastAsia="MS Gothic" w:hAnsi="Book Antiqua"/>
        </w:rPr>
        <w:t>gionalnog razvoja, a koji zavise</w:t>
      </w:r>
      <w:r w:rsidRPr="00680B44">
        <w:rPr>
          <w:rFonts w:ascii="Book Antiqua" w:eastAsia="MS Gothic" w:hAnsi="Book Antiqua"/>
        </w:rPr>
        <w:t xml:space="preserve"> od ugla gledišta ovog problema, koji zauzima značajno mesto u savremenoj politici ekonomskog razvoja.</w:t>
      </w:r>
    </w:p>
    <w:p w:rsidR="0081364C" w:rsidRPr="00680B44" w:rsidRDefault="0081364C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sz w:val="22"/>
        </w:rPr>
      </w:pPr>
      <w:r w:rsidRPr="00680B44">
        <w:rPr>
          <w:rFonts w:ascii="Book Antiqua" w:eastAsia="MS Gothic" w:hAnsi="Book Antiqua"/>
        </w:rPr>
        <w:t>“</w:t>
      </w:r>
      <w:r w:rsidR="00296195" w:rsidRPr="00680B44">
        <w:rPr>
          <w:rFonts w:ascii="Book Antiqua" w:eastAsia="MS Gothic" w:hAnsi="Book Antiqua"/>
        </w:rPr>
        <w:t>Regionalni razvoj predstavlja opšti napor za smanjenje regionalnih nejednakosti, oslanjajući se na zapošljavanje i generisanje bogatstva/blagostanja ekonomskih aktivnosti u regionima</w:t>
      </w:r>
      <w:r w:rsidRPr="00680B44">
        <w:rPr>
          <w:rFonts w:ascii="Book Antiqua" w:eastAsia="MS Gothic" w:hAnsi="Book Antiqua"/>
        </w:rPr>
        <w:t>.”</w:t>
      </w:r>
      <w:r w:rsidR="003344E6" w:rsidRPr="00680B44">
        <w:rPr>
          <w:rStyle w:val="FootnoteReference"/>
          <w:rFonts w:ascii="Book Antiqua" w:eastAsia="MS Gothic" w:hAnsi="Book Antiqua"/>
        </w:rPr>
        <w:footnoteReference w:id="1"/>
      </w:r>
    </w:p>
    <w:p w:rsidR="00CD615D" w:rsidRPr="00680B44" w:rsidRDefault="00296195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Međutim</w:t>
      </w:r>
      <w:r w:rsidR="00CD615D" w:rsidRPr="00680B44">
        <w:rPr>
          <w:rFonts w:ascii="Book Antiqua" w:eastAsia="MS Gothic" w:hAnsi="Book Antiqua"/>
        </w:rPr>
        <w:t>:</w:t>
      </w:r>
    </w:p>
    <w:p w:rsidR="0095726A" w:rsidRPr="00680B44" w:rsidRDefault="00CD615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“</w:t>
      </w:r>
      <w:r w:rsidR="00296195" w:rsidRPr="00680B44">
        <w:rPr>
          <w:rFonts w:ascii="Book Antiqua" w:eastAsia="MS Gothic" w:hAnsi="Book Antiqua"/>
        </w:rPr>
        <w:t>Politika regionalnog razvoja se odnosi na smanjenje ekonomskih nejednakosti, između razvojnih ekonomskih regiona na Kosovu</w:t>
      </w:r>
      <w:r w:rsidR="00F2022A" w:rsidRPr="00680B44">
        <w:rPr>
          <w:rFonts w:ascii="Book Antiqua" w:eastAsia="MS Gothic" w:hAnsi="Book Antiqua"/>
        </w:rPr>
        <w:t>”.</w:t>
      </w:r>
    </w:p>
    <w:p w:rsidR="005F4046" w:rsidRPr="00680B44" w:rsidRDefault="00F2022A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 </w:t>
      </w:r>
      <w:r w:rsidR="00296195" w:rsidRPr="00680B44">
        <w:rPr>
          <w:rFonts w:ascii="Book Antiqua" w:eastAsia="MS Gothic" w:hAnsi="Book Antiqua"/>
        </w:rPr>
        <w:t>U tom smislu, politika regionalnog razvoja obuhvata dva glavna aspekta domaće ekonomije, a to su</w:t>
      </w:r>
      <w:r w:rsidR="00CD615D" w:rsidRPr="00680B44">
        <w:rPr>
          <w:rFonts w:ascii="Book Antiqua" w:eastAsia="MS Gothic" w:hAnsi="Book Antiqua"/>
        </w:rPr>
        <w:t>:</w:t>
      </w:r>
    </w:p>
    <w:p w:rsidR="005F4046" w:rsidRPr="00680B44" w:rsidRDefault="005F4046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</w:p>
    <w:p w:rsidR="003344E6" w:rsidRPr="00680B44" w:rsidRDefault="00393215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lastRenderedPageBreak/>
        <w:t>1.</w:t>
      </w:r>
      <w:r w:rsidR="001D16F7" w:rsidRPr="00680B44">
        <w:t xml:space="preserve"> </w:t>
      </w:r>
      <w:r w:rsidR="00296195" w:rsidRPr="00680B44">
        <w:t>Na racionalan način podstiče, omogućava korišćenje faktora proizvodnje na čitavoj teritoriji zemlje, omogućavajući što harmoničniji teritorijalni razvoj</w:t>
      </w:r>
      <w:r w:rsidR="001D16F7" w:rsidRPr="00680B44">
        <w:t>;</w:t>
      </w:r>
      <w:r w:rsidR="00A85F03" w:rsidRPr="00680B44">
        <w:t xml:space="preserve"> </w:t>
      </w:r>
      <w:r w:rsidRPr="00680B44">
        <w:rPr>
          <w:rFonts w:ascii="Book Antiqua" w:eastAsia="MS Gothic" w:hAnsi="Book Antiqua"/>
        </w:rPr>
        <w:t>2.</w:t>
      </w:r>
      <w:r w:rsidR="00CD615D" w:rsidRPr="00680B44">
        <w:rPr>
          <w:rFonts w:ascii="Book Antiqua" w:eastAsia="MS Gothic" w:hAnsi="Book Antiqua"/>
        </w:rPr>
        <w:t xml:space="preserve"> </w:t>
      </w:r>
      <w:r w:rsidR="00F710ED" w:rsidRPr="00680B44">
        <w:rPr>
          <w:rFonts w:ascii="Book Antiqua" w:eastAsia="MS Gothic" w:hAnsi="Book Antiqua"/>
        </w:rPr>
        <w:t>Omogućava ukupni razvoj nacionalne ekonomije</w:t>
      </w:r>
      <w:r w:rsidR="00CD615D" w:rsidRPr="00680B44">
        <w:rPr>
          <w:rFonts w:ascii="Book Antiqua" w:eastAsia="MS Gothic" w:hAnsi="Book Antiqua"/>
        </w:rPr>
        <w:t>.</w:t>
      </w:r>
      <w:r w:rsidR="00A85F03" w:rsidRPr="00680B44">
        <w:rPr>
          <w:rFonts w:ascii="Book Antiqua" w:eastAsia="MS Gothic" w:hAnsi="Book Antiqua"/>
        </w:rPr>
        <w:t xml:space="preserve"> </w:t>
      </w:r>
    </w:p>
    <w:p w:rsidR="0095726A" w:rsidRPr="00680B44" w:rsidRDefault="00F710E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U kontekstu u kom govorimo, možemo razumeti da politika regionalnog razvoja nosi u sebi dve vrste politika</w:t>
      </w:r>
      <w:r w:rsidR="0095726A" w:rsidRPr="00680B44">
        <w:rPr>
          <w:rFonts w:ascii="Book Antiqua" w:eastAsia="MS Gothic" w:hAnsi="Book Antiqua"/>
        </w:rPr>
        <w:t>:</w:t>
      </w:r>
    </w:p>
    <w:p w:rsidR="00602882" w:rsidRPr="00680B44" w:rsidRDefault="00CD615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 </w:t>
      </w:r>
      <w:r w:rsidR="00602882" w:rsidRPr="00680B44">
        <w:rPr>
          <w:rFonts w:ascii="Book Antiqua" w:eastAsia="MS Gothic" w:hAnsi="Book Antiqua"/>
        </w:rPr>
        <w:t>- politik</w:t>
      </w:r>
      <w:r w:rsidR="004C1489" w:rsidRPr="00680B44">
        <w:rPr>
          <w:rFonts w:ascii="Book Antiqua" w:eastAsia="MS Gothic" w:hAnsi="Book Antiqua"/>
        </w:rPr>
        <w:t>u razvoja</w:t>
      </w:r>
      <w:r w:rsidR="00602882" w:rsidRPr="00680B44">
        <w:rPr>
          <w:rFonts w:ascii="Book Antiqua" w:eastAsia="MS Gothic" w:hAnsi="Book Antiqua"/>
        </w:rPr>
        <w:t>;</w:t>
      </w:r>
    </w:p>
    <w:p w:rsidR="00CD615D" w:rsidRPr="00680B44" w:rsidRDefault="00CD615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 </w:t>
      </w:r>
      <w:r w:rsidR="0095726A" w:rsidRPr="00680B44">
        <w:rPr>
          <w:rFonts w:ascii="Book Antiqua" w:eastAsia="MS Gothic" w:hAnsi="Book Antiqua"/>
        </w:rPr>
        <w:t>-</w:t>
      </w:r>
      <w:r w:rsidR="004C1489" w:rsidRPr="00680B44">
        <w:rPr>
          <w:rFonts w:ascii="Book Antiqua" w:eastAsia="MS Gothic" w:hAnsi="Book Antiqua"/>
        </w:rPr>
        <w:t>regionalnu politiku</w:t>
      </w:r>
      <w:r w:rsidR="00FE667E" w:rsidRPr="00680B44">
        <w:rPr>
          <w:rStyle w:val="FootnoteReference"/>
          <w:rFonts w:ascii="Book Antiqua" w:eastAsia="MS Gothic" w:hAnsi="Book Antiqua"/>
        </w:rPr>
        <w:footnoteReference w:id="2"/>
      </w:r>
      <w:r w:rsidR="00602882" w:rsidRPr="00680B44">
        <w:rPr>
          <w:rFonts w:ascii="Book Antiqua" w:eastAsia="MS Gothic" w:hAnsi="Book Antiqua"/>
        </w:rPr>
        <w:t xml:space="preserve">, </w:t>
      </w:r>
      <w:r w:rsidR="004C1489" w:rsidRPr="00680B44">
        <w:rPr>
          <w:rFonts w:ascii="Book Antiqua" w:eastAsia="MS Gothic" w:hAnsi="Book Antiqua"/>
        </w:rPr>
        <w:t>koje zajedno predstavljaju ukupnu ekonomsku razvojnu politiku Kosova</w:t>
      </w:r>
      <w:r w:rsidRPr="00680B44">
        <w:rPr>
          <w:rFonts w:ascii="Book Antiqua" w:eastAsia="MS Gothic" w:hAnsi="Book Antiqua"/>
        </w:rPr>
        <w:t>.</w:t>
      </w:r>
    </w:p>
    <w:p w:rsidR="004103A5" w:rsidRPr="00680B44" w:rsidRDefault="004C1489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  <w:r w:rsidRPr="00680B44">
        <w:rPr>
          <w:rFonts w:ascii="Book Antiqua" w:eastAsia="MS Gothic" w:hAnsi="Book Antiqua"/>
          <w:b/>
          <w:sz w:val="28"/>
          <w:szCs w:val="28"/>
        </w:rPr>
        <w:t xml:space="preserve">Regionalno ekonomsko planiranje </w:t>
      </w:r>
      <w:r w:rsidR="004103A5" w:rsidRPr="00680B44">
        <w:rPr>
          <w:rFonts w:ascii="Book Antiqua" w:eastAsia="MS Gothic" w:hAnsi="Book Antiqua"/>
          <w:b/>
          <w:sz w:val="28"/>
          <w:szCs w:val="28"/>
        </w:rPr>
        <w:t>-</w:t>
      </w:r>
    </w:p>
    <w:p w:rsidR="00CD615D" w:rsidRPr="00680B44" w:rsidRDefault="004C1489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Regionalno planiranje ne obuhvata samo zajedničke mere za uspostavljanje ravnoteže između regiona, već to je i artikulacija između rada, rešenja, instrumenata i prakse koju treba da donese regionalna politika za nivo svakog regiona</w:t>
      </w:r>
      <w:r w:rsidR="00CD615D" w:rsidRPr="00680B44">
        <w:rPr>
          <w:rFonts w:ascii="Book Antiqua" w:eastAsia="MS Gothic" w:hAnsi="Book Antiqua"/>
        </w:rPr>
        <w:t>.</w:t>
      </w:r>
    </w:p>
    <w:p w:rsidR="00CD615D" w:rsidRPr="00680B44" w:rsidRDefault="00CD615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Politika</w:t>
      </w:r>
      <w:r w:rsidR="004C1489" w:rsidRPr="00680B44">
        <w:rPr>
          <w:rFonts w:ascii="Book Antiqua" w:eastAsia="MS Gothic" w:hAnsi="Book Antiqua"/>
        </w:rPr>
        <w:t xml:space="preserve"> regionalnog razvoja u sebi sadrži sve mere i instrumente koje preduzima </w:t>
      </w:r>
      <w:r w:rsidRPr="00680B44">
        <w:rPr>
          <w:rFonts w:ascii="Book Antiqua" w:eastAsia="MS Gothic" w:hAnsi="Book Antiqua"/>
        </w:rPr>
        <w:t xml:space="preserve"> </w:t>
      </w:r>
      <w:r w:rsidR="004C1489" w:rsidRPr="00680B44">
        <w:rPr>
          <w:rFonts w:ascii="Book Antiqua" w:eastAsia="MS Gothic" w:hAnsi="Book Antiqua"/>
        </w:rPr>
        <w:t>država ili neka manja administrativna jedinica kao što je: opština itd</w:t>
      </w:r>
      <w:r w:rsidRPr="00680B44">
        <w:rPr>
          <w:rFonts w:ascii="Book Antiqua" w:eastAsia="MS Gothic" w:hAnsi="Book Antiqua"/>
        </w:rPr>
        <w:t>.</w:t>
      </w:r>
      <w:r w:rsidR="00A04746" w:rsidRPr="00680B44">
        <w:rPr>
          <w:rFonts w:ascii="Book Antiqua" w:eastAsia="MS Gothic" w:hAnsi="Book Antiqua"/>
        </w:rPr>
        <w:t xml:space="preserve"> </w:t>
      </w:r>
      <w:r w:rsidR="004C1489" w:rsidRPr="00680B44">
        <w:rPr>
          <w:rFonts w:ascii="Book Antiqua" w:eastAsia="MS Gothic" w:hAnsi="Book Antiqua"/>
        </w:rPr>
        <w:t>U cilju podsticanja razvoja regiona (</w:t>
      </w:r>
      <w:r w:rsidR="0010255A" w:rsidRPr="00680B44">
        <w:rPr>
          <w:rFonts w:ascii="Book Antiqua" w:eastAsia="MS Gothic" w:hAnsi="Book Antiqua"/>
        </w:rPr>
        <w:t>ekonomskih razvojnih regiona) nedovoljno razvijenih, odnosno što harmoničniji teritorijalni razvoj nacionalne ekonomije</w:t>
      </w:r>
      <w:r w:rsidRPr="00680B44">
        <w:rPr>
          <w:rFonts w:ascii="Book Antiqua" w:eastAsia="MS Gothic" w:hAnsi="Book Antiqua"/>
        </w:rPr>
        <w:t>.</w:t>
      </w:r>
    </w:p>
    <w:p w:rsidR="00CD615D" w:rsidRPr="00680B44" w:rsidRDefault="0010255A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 xml:space="preserve">Stoga, kao što smo i prethodno naglasili, </w:t>
      </w:r>
      <w:r w:rsidR="00D12C7B" w:rsidRPr="00680B44">
        <w:rPr>
          <w:rFonts w:ascii="Book Antiqua" w:eastAsia="MS Gothic" w:hAnsi="Book Antiqua"/>
        </w:rPr>
        <w:t>politika regionalnog razvoja sama po sebi podrazumeva stvaranje uslova za ekonomski i društveni razvoj svakog regiona (zasebno) kao sastavni deo teritorijalne celovitosti zemlje i nacionalne ekonomije u celini</w:t>
      </w:r>
      <w:r w:rsidR="00CD615D" w:rsidRPr="00680B44">
        <w:rPr>
          <w:rFonts w:ascii="Book Antiqua" w:eastAsia="MS Gothic" w:hAnsi="Book Antiqua"/>
        </w:rPr>
        <w:t>.</w:t>
      </w:r>
    </w:p>
    <w:p w:rsidR="00CD615D" w:rsidRPr="00680B44" w:rsidRDefault="00D12C7B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Danas, politika regionalnog razvoja je koncentrisana u preduzimanju mera i instrumenata za ubrzavanje razvoja nedovoljno razvijenih regiona, imajući u vidu ukupan razvoj nacionalne ekonomije</w:t>
      </w:r>
      <w:r w:rsidR="00CD615D" w:rsidRPr="00680B44">
        <w:rPr>
          <w:rFonts w:ascii="Book Antiqua" w:eastAsia="MS Gothic" w:hAnsi="Book Antiqua"/>
        </w:rPr>
        <w:t>.</w:t>
      </w:r>
    </w:p>
    <w:p w:rsidR="00CD615D" w:rsidRPr="00680B44" w:rsidRDefault="00CD615D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lastRenderedPageBreak/>
        <w:t>N</w:t>
      </w:r>
      <w:r w:rsidR="00D12C7B" w:rsidRPr="00680B44">
        <w:rPr>
          <w:rFonts w:ascii="Book Antiqua" w:eastAsia="MS Gothic" w:hAnsi="Book Antiqua"/>
        </w:rPr>
        <w:t>ema sumnje da sve razvojne politike imaju prostornu dimenziju, dakle nisu neutralne u smislu regionalnog razvoja, ali je njihov uticaj različit po određenim regionima kao sastavni deo nacionalne ekonomije</w:t>
      </w:r>
      <w:r w:rsidRPr="00680B44">
        <w:rPr>
          <w:rFonts w:ascii="Book Antiqua" w:eastAsia="MS Gothic" w:hAnsi="Book Antiqua"/>
        </w:rPr>
        <w:t>.</w:t>
      </w:r>
    </w:p>
    <w:p w:rsidR="002E4998" w:rsidRPr="00680B44" w:rsidRDefault="00D12C7B" w:rsidP="00B739D4">
      <w:pPr>
        <w:keepNext/>
        <w:keepLines/>
        <w:spacing w:before="240" w:after="240" w:line="360" w:lineRule="auto"/>
        <w:jc w:val="both"/>
        <w:outlineLvl w:val="0"/>
        <w:rPr>
          <w:rFonts w:ascii="Book Antiqua" w:eastAsia="MS Gothic" w:hAnsi="Book Antiqua"/>
        </w:rPr>
      </w:pPr>
      <w:r w:rsidRPr="00680B44">
        <w:rPr>
          <w:rFonts w:ascii="Book Antiqua" w:eastAsia="MS Gothic" w:hAnsi="Book Antiqua"/>
        </w:rPr>
        <w:t>Regionalna politika, kao i ukupna razvojna politika, ima svoje ciljeve</w:t>
      </w:r>
      <w:r w:rsidR="007C07DA" w:rsidRPr="00680B44">
        <w:rPr>
          <w:rFonts w:ascii="Book Antiqua" w:eastAsia="MS Gothic" w:hAnsi="Book Antiqua"/>
        </w:rPr>
        <w:t xml:space="preserve"> i imajući u vidu sadržaj predmeta –</w:t>
      </w:r>
      <w:r w:rsidR="00CD615D" w:rsidRPr="00680B44">
        <w:rPr>
          <w:rFonts w:ascii="Book Antiqua" w:eastAsia="MS Gothic" w:hAnsi="Book Antiqua"/>
        </w:rPr>
        <w:t xml:space="preserve"> </w:t>
      </w:r>
      <w:r w:rsidR="007C07DA" w:rsidRPr="00680B44">
        <w:rPr>
          <w:rFonts w:ascii="Book Antiqua" w:eastAsia="MS Gothic" w:hAnsi="Book Antiqua"/>
        </w:rPr>
        <w:t>glavne ciljeve regionalne politike je moguće grupisati u</w:t>
      </w:r>
      <w:r w:rsidR="00CD615D" w:rsidRPr="00680B44">
        <w:rPr>
          <w:rFonts w:ascii="Book Antiqua" w:eastAsia="MS Gothic" w:hAnsi="Book Antiqua"/>
        </w:rPr>
        <w:t xml:space="preserve">: </w:t>
      </w:r>
      <w:r w:rsidR="007C07DA" w:rsidRPr="00680B44">
        <w:rPr>
          <w:rFonts w:ascii="Book Antiqua" w:eastAsia="MS Gothic" w:hAnsi="Book Antiqua"/>
        </w:rPr>
        <w:t xml:space="preserve">što </w:t>
      </w:r>
      <w:r w:rsidR="0009541A" w:rsidRPr="00680B44">
        <w:rPr>
          <w:rFonts w:ascii="Book Antiqua" w:eastAsia="MS Gothic" w:hAnsi="Book Antiqua"/>
        </w:rPr>
        <w:t>ravnopravnije</w:t>
      </w:r>
      <w:r w:rsidR="007C07DA" w:rsidRPr="00680B44">
        <w:rPr>
          <w:rFonts w:ascii="Book Antiqua" w:eastAsia="MS Gothic" w:hAnsi="Book Antiqua"/>
        </w:rPr>
        <w:t xml:space="preserve"> posta</w:t>
      </w:r>
      <w:r w:rsidR="0009541A" w:rsidRPr="00680B44">
        <w:rPr>
          <w:rFonts w:ascii="Book Antiqua" w:eastAsia="MS Gothic" w:hAnsi="Book Antiqua"/>
        </w:rPr>
        <w:t>vl</w:t>
      </w:r>
      <w:r w:rsidR="007C07DA" w:rsidRPr="00680B44">
        <w:rPr>
          <w:rFonts w:ascii="Book Antiqua" w:eastAsia="MS Gothic" w:hAnsi="Book Antiqua"/>
        </w:rPr>
        <w:t>janje proizvođačkih i investicionih snaga,</w:t>
      </w:r>
      <w:r w:rsidR="0009541A" w:rsidRPr="00680B44">
        <w:rPr>
          <w:rFonts w:ascii="Book Antiqua" w:eastAsia="MS Gothic" w:hAnsi="Book Antiqua"/>
        </w:rPr>
        <w:t xml:space="preserve"> u ekonomko razvojnom pogledu</w:t>
      </w:r>
      <w:r w:rsidR="00A40159" w:rsidRPr="00680B44">
        <w:rPr>
          <w:rFonts w:ascii="Book Antiqua" w:eastAsia="MS Gothic" w:hAnsi="Book Antiqua"/>
        </w:rPr>
        <w:t>.</w:t>
      </w:r>
      <w:r w:rsidR="007C15F2" w:rsidRPr="00680B44">
        <w:rPr>
          <w:rStyle w:val="FootnoteReference"/>
          <w:rFonts w:ascii="Book Antiqua" w:eastAsia="MS Gothic" w:hAnsi="Book Antiqua"/>
        </w:rPr>
        <w:footnoteReference w:id="3"/>
      </w:r>
      <w:r w:rsidR="009C01BD" w:rsidRPr="00680B44">
        <w:rPr>
          <w:rFonts w:ascii="Book Antiqua" w:eastAsia="MS Gothic" w:hAnsi="Book Antiqua"/>
        </w:rPr>
        <w:t xml:space="preserve"> </w:t>
      </w:r>
    </w:p>
    <w:p w:rsidR="008D0740" w:rsidRPr="00680B44" w:rsidRDefault="00BE6EEC" w:rsidP="00DA3EF5">
      <w:pPr>
        <w:keepNext/>
        <w:keepLines/>
        <w:spacing w:before="240" w:after="240"/>
        <w:jc w:val="both"/>
        <w:outlineLvl w:val="0"/>
        <w:rPr>
          <w:rFonts w:ascii="Book Antiqua" w:eastAsia="MS Gothic" w:hAnsi="Book Antiqua"/>
          <w:b/>
          <w:sz w:val="28"/>
          <w:szCs w:val="28"/>
        </w:rPr>
      </w:pPr>
      <w:r w:rsidRPr="00680B44">
        <w:rPr>
          <w:rFonts w:ascii="Book Antiqua" w:eastAsia="MS Gothic" w:hAnsi="Book Antiqua"/>
          <w:b/>
          <w:sz w:val="28"/>
          <w:szCs w:val="28"/>
        </w:rPr>
        <w:t>Konc</w:t>
      </w:r>
      <w:r w:rsidR="00133908">
        <w:rPr>
          <w:rFonts w:ascii="Book Antiqua" w:eastAsia="MS Gothic" w:hAnsi="Book Antiqua"/>
          <w:b/>
          <w:sz w:val="28"/>
          <w:szCs w:val="28"/>
        </w:rPr>
        <w:t>ept</w:t>
      </w:r>
      <w:r w:rsidR="0009541A" w:rsidRPr="00680B44">
        <w:rPr>
          <w:rFonts w:ascii="Book Antiqua" w:eastAsia="MS Gothic" w:hAnsi="Book Antiqua"/>
          <w:b/>
          <w:sz w:val="28"/>
          <w:szCs w:val="28"/>
        </w:rPr>
        <w:t xml:space="preserve"> dokumenta za izradu regionalnih politika </w:t>
      </w:r>
      <w:r w:rsidR="00AF7833" w:rsidRPr="00680B44">
        <w:rPr>
          <w:rFonts w:ascii="Book Antiqua" w:eastAsia="MS Gothic" w:hAnsi="Book Antiqua"/>
          <w:b/>
          <w:sz w:val="28"/>
          <w:szCs w:val="28"/>
        </w:rPr>
        <w:t>-</w:t>
      </w:r>
    </w:p>
    <w:p w:rsidR="00DD1ED6" w:rsidRPr="00680B44" w:rsidRDefault="00497A99" w:rsidP="00DD1ED6">
      <w:pPr>
        <w:keepNext/>
        <w:keepLines/>
        <w:spacing w:before="240" w:after="240" w:line="360" w:lineRule="auto"/>
        <w:jc w:val="both"/>
        <w:outlineLvl w:val="0"/>
        <w:rPr>
          <w:rFonts w:ascii="Book Antiqua" w:eastAsia="SimSun" w:hAnsi="Book Antiqua"/>
          <w:color w:val="222222"/>
        </w:rPr>
      </w:pPr>
      <w:r w:rsidRPr="00680B44">
        <w:rPr>
          <w:rFonts w:ascii="Book Antiqua" w:eastAsia="SimSun" w:hAnsi="Book Antiqua"/>
          <w:color w:val="222222"/>
        </w:rPr>
        <w:t>Koncept</w:t>
      </w:r>
      <w:r w:rsidR="0009541A" w:rsidRPr="00680B44">
        <w:rPr>
          <w:rFonts w:ascii="Book Antiqua" w:eastAsia="SimSun" w:hAnsi="Book Antiqua"/>
          <w:color w:val="222222"/>
        </w:rPr>
        <w:t xml:space="preserve"> ovog dokumenta omogućava da barem malo </w:t>
      </w:r>
      <w:r w:rsidR="00867E93" w:rsidRPr="00680B44">
        <w:rPr>
          <w:rFonts w:ascii="Book Antiqua" w:eastAsia="SimSun" w:hAnsi="Book Antiqua"/>
          <w:color w:val="222222"/>
        </w:rPr>
        <w:t>pruža</w:t>
      </w:r>
      <w:r w:rsidR="0009541A" w:rsidRPr="00680B44">
        <w:rPr>
          <w:rFonts w:ascii="Book Antiqua" w:eastAsia="SimSun" w:hAnsi="Book Antiqua"/>
          <w:color w:val="222222"/>
        </w:rPr>
        <w:t xml:space="preserve"> saznanja o pristupu regionalnog razvoja od strane EU-a, način na koji je EU pristupila izradi politika, strategija, načinu na koji su utvrđeni ciljevi, prioriteti, programi, raspodela fondova </w:t>
      </w:r>
      <w:r w:rsidR="00867E93" w:rsidRPr="00680B44">
        <w:rPr>
          <w:rFonts w:ascii="Book Antiqua" w:eastAsia="SimSun" w:hAnsi="Book Antiqua"/>
          <w:color w:val="222222"/>
        </w:rPr>
        <w:t>u cilju razvoja manje razvijenih zemalja među njenim državama članicama, ali i način na koji EU namerava da pristupi regionalnom razvoju prema zemljama koje teže da postanu deo evropske porodice, uključujući Zapadni Balkan čiji je deo i Kosovo</w:t>
      </w:r>
      <w:r w:rsidR="00DD1ED6" w:rsidRPr="00680B44">
        <w:rPr>
          <w:rFonts w:ascii="Book Antiqua" w:eastAsia="SimSun" w:hAnsi="Book Antiqua"/>
          <w:color w:val="222222"/>
        </w:rPr>
        <w:t xml:space="preserve">. </w:t>
      </w:r>
    </w:p>
    <w:p w:rsidR="00CA2EE3" w:rsidRPr="00680B44" w:rsidRDefault="00A820D9" w:rsidP="00DD1ED6">
      <w:pPr>
        <w:keepNext/>
        <w:keepLines/>
        <w:spacing w:before="240" w:after="240" w:line="360" w:lineRule="auto"/>
        <w:jc w:val="both"/>
        <w:outlineLvl w:val="0"/>
        <w:rPr>
          <w:rFonts w:ascii="Book Antiqua" w:eastAsia="SimSun" w:hAnsi="Book Antiqua"/>
          <w:color w:val="222222"/>
        </w:rPr>
      </w:pPr>
      <w:r w:rsidRPr="00680B44">
        <w:rPr>
          <w:rFonts w:ascii="Book Antiqua" w:eastAsia="MS Gothic" w:hAnsi="Book Antiqua"/>
        </w:rPr>
        <w:t>Dokument</w:t>
      </w:r>
      <w:r w:rsidR="00867E93" w:rsidRPr="00680B44">
        <w:rPr>
          <w:rFonts w:ascii="Book Antiqua" w:eastAsia="MS Gothic" w:hAnsi="Book Antiqua"/>
        </w:rPr>
        <w:t xml:space="preserve"> sa objašnjenjima o regionalnim politikama Evropske unije, održava sprovođenje politika regionalnog razvoja, inkorporisanih naseljima, ekonomijom, infrastrukturom i uravnoteženim prirodnim sistemima, u prostornu zajednicu bez razlika, kao ravnopravna mogućnost za uravnoteženi regionalni razvoj</w:t>
      </w:r>
      <w:r w:rsidR="00CA2EE3" w:rsidRPr="00680B44">
        <w:rPr>
          <w:rFonts w:ascii="Book Antiqua" w:hAnsi="Book Antiqua"/>
          <w:szCs w:val="22"/>
        </w:rPr>
        <w:t xml:space="preserve">. </w:t>
      </w:r>
    </w:p>
    <w:p w:rsidR="00CA2EE3" w:rsidRPr="00680B44" w:rsidRDefault="00B76295" w:rsidP="00CA2EE3">
      <w:pPr>
        <w:spacing w:after="160" w:line="360" w:lineRule="auto"/>
        <w:jc w:val="both"/>
        <w:rPr>
          <w:rFonts w:ascii="Book Antiqua" w:hAnsi="Book Antiqua"/>
          <w:szCs w:val="22"/>
        </w:rPr>
      </w:pPr>
      <w:r w:rsidRPr="00680B44">
        <w:rPr>
          <w:rFonts w:ascii="Book Antiqua" w:hAnsi="Book Antiqua"/>
          <w:szCs w:val="22"/>
        </w:rPr>
        <w:t>Regionalni razvoj je osmišljen kao opšti napor za smanjenje regionalnih nejednakosti, kroz podršku (zapošljavanje i generisanje bogatstva/blagostanja) ekonomskim aktivnostima u razvojnim ekonomskim regionima</w:t>
      </w:r>
      <w:r w:rsidR="00CA2EE3" w:rsidRPr="00680B44">
        <w:rPr>
          <w:rFonts w:ascii="Book Antiqua" w:hAnsi="Book Antiqua"/>
          <w:szCs w:val="22"/>
        </w:rPr>
        <w:t xml:space="preserve">. </w:t>
      </w:r>
      <w:r w:rsidR="00CA2EE3" w:rsidRPr="00680B44">
        <w:rPr>
          <w:rFonts w:ascii="Book Antiqua" w:hAnsi="Book Antiqua"/>
          <w:b/>
          <w:szCs w:val="22"/>
        </w:rPr>
        <w:t xml:space="preserve"> </w:t>
      </w:r>
    </w:p>
    <w:p w:rsidR="00CA2EE3" w:rsidRPr="00680B44" w:rsidRDefault="00B76295" w:rsidP="002C1B30">
      <w:pPr>
        <w:spacing w:after="160" w:line="360" w:lineRule="auto"/>
        <w:jc w:val="both"/>
        <w:rPr>
          <w:rFonts w:ascii="Book Antiqua" w:hAnsi="Book Antiqua"/>
          <w:szCs w:val="22"/>
        </w:rPr>
      </w:pPr>
      <w:r w:rsidRPr="00680B44">
        <w:rPr>
          <w:rFonts w:ascii="Book Antiqua" w:hAnsi="Book Antiqua"/>
          <w:szCs w:val="22"/>
        </w:rPr>
        <w:t>Jedan od izazova je regionalna nejednakost između određenih regiona. Imamo suštinske razlike u poređenju sa ostalim regionima u nekim socio-ekonomskim pokazateljima</w:t>
      </w:r>
      <w:r w:rsidR="00CA2EE3" w:rsidRPr="00680B44">
        <w:rPr>
          <w:rFonts w:ascii="Book Antiqua" w:hAnsi="Book Antiqua"/>
          <w:szCs w:val="22"/>
        </w:rPr>
        <w:t xml:space="preserve"> (GDP/Capita; </w:t>
      </w:r>
      <w:r w:rsidRPr="00680B44">
        <w:rPr>
          <w:rFonts w:ascii="Book Antiqua" w:hAnsi="Book Antiqua"/>
          <w:szCs w:val="22"/>
        </w:rPr>
        <w:t>investicije po glavi stanovnika</w:t>
      </w:r>
      <w:r w:rsidR="002C1B30" w:rsidRPr="00680B44">
        <w:rPr>
          <w:rFonts w:ascii="Book Antiqua" w:hAnsi="Book Antiqua"/>
          <w:szCs w:val="22"/>
        </w:rPr>
        <w:t xml:space="preserve">; </w:t>
      </w:r>
      <w:r w:rsidRPr="00680B44">
        <w:rPr>
          <w:rFonts w:ascii="Book Antiqua" w:hAnsi="Book Antiqua"/>
          <w:szCs w:val="22"/>
        </w:rPr>
        <w:t>stopa nezaposlenosti itd</w:t>
      </w:r>
      <w:r w:rsidR="00A40159" w:rsidRPr="00680B44">
        <w:rPr>
          <w:rFonts w:ascii="Book Antiqua" w:hAnsi="Book Antiqua"/>
          <w:szCs w:val="22"/>
        </w:rPr>
        <w:t>.)</w:t>
      </w:r>
      <w:r w:rsidR="00CA2EE3" w:rsidRPr="00680B44">
        <w:rPr>
          <w:rFonts w:ascii="Book Antiqua" w:hAnsi="Book Antiqua"/>
          <w:szCs w:val="22"/>
        </w:rPr>
        <w:t xml:space="preserve"> </w:t>
      </w:r>
      <w:r w:rsidRPr="00680B44">
        <w:rPr>
          <w:rFonts w:ascii="Book Antiqua" w:hAnsi="Book Antiqua"/>
          <w:szCs w:val="22"/>
        </w:rPr>
        <w:lastRenderedPageBreak/>
        <w:t>Proces smanjenja razlika u pogledu socio-ekonomskog razvoja i kvaliteta života u raznim regionima namerava se postići kroz uravnoteženi regionalni ekonomski razvoj</w:t>
      </w:r>
      <w:r w:rsidR="002C1B30" w:rsidRPr="00680B44">
        <w:rPr>
          <w:rFonts w:ascii="Book Antiqua" w:hAnsi="Book Antiqua"/>
          <w:szCs w:val="22"/>
        </w:rPr>
        <w:t>.</w:t>
      </w:r>
    </w:p>
    <w:p w:rsidR="00CA2EE3" w:rsidRPr="00680B44" w:rsidRDefault="00B76295" w:rsidP="00CA2EE3">
      <w:pPr>
        <w:widowControl w:val="0"/>
        <w:autoSpaceDE w:val="0"/>
        <w:autoSpaceDN w:val="0"/>
        <w:adjustRightInd w:val="0"/>
        <w:spacing w:after="240" w:line="360" w:lineRule="auto"/>
        <w:rPr>
          <w:rFonts w:ascii="Book Antiqua" w:hAnsi="Book Antiqua"/>
          <w:b/>
          <w:szCs w:val="22"/>
        </w:rPr>
      </w:pPr>
      <w:r w:rsidRPr="00680B44">
        <w:rPr>
          <w:rFonts w:ascii="Book Antiqua" w:hAnsi="Book Antiqua"/>
          <w:szCs w:val="22"/>
        </w:rPr>
        <w:t xml:space="preserve">Politike za regionalni razvoj daju okvir regionalnog razvoja i intervencija u specifičnim oblastima </w:t>
      </w:r>
      <w:r w:rsidR="005D0515" w:rsidRPr="00680B44">
        <w:rPr>
          <w:rFonts w:ascii="Book Antiqua" w:hAnsi="Book Antiqua"/>
          <w:szCs w:val="22"/>
        </w:rPr>
        <w:t>koje će biti usmerene na postizanju cilja uravnoteženog regionalnog razvoja</w:t>
      </w:r>
      <w:r w:rsidR="00CA2EE3" w:rsidRPr="00680B44">
        <w:rPr>
          <w:rFonts w:ascii="Book Antiqua" w:hAnsi="Book Antiqua"/>
          <w:szCs w:val="22"/>
        </w:rPr>
        <w:t>;</w:t>
      </w:r>
    </w:p>
    <w:p w:rsidR="00E87D0A" w:rsidRPr="00680B44" w:rsidRDefault="005D0515" w:rsidP="00E87D0A">
      <w:pPr>
        <w:spacing w:after="160" w:line="360" w:lineRule="auto"/>
        <w:jc w:val="both"/>
        <w:rPr>
          <w:rFonts w:ascii="Book Antiqua" w:hAnsi="Book Antiqua"/>
          <w:b/>
          <w:szCs w:val="22"/>
        </w:rPr>
      </w:pPr>
      <w:r w:rsidRPr="00680B44">
        <w:rPr>
          <w:rFonts w:ascii="Book Antiqua" w:hAnsi="Book Antiqua"/>
          <w:szCs w:val="22"/>
        </w:rPr>
        <w:t>Programi za regionalni razvoj sadrže prednosti razvojnog regiona</w:t>
      </w:r>
      <w:r w:rsidR="00595312" w:rsidRPr="00680B44">
        <w:rPr>
          <w:rFonts w:ascii="Book Antiqua" w:hAnsi="Book Antiqua"/>
          <w:szCs w:val="22"/>
        </w:rPr>
        <w:t>, kroz definisanje razvojnih prioriteta regiona i koji sadrži procenjene finansijske programe za razvoj i promovisanje razvojnog regiona</w:t>
      </w:r>
      <w:r w:rsidR="00DD1ED6" w:rsidRPr="00680B44">
        <w:rPr>
          <w:rFonts w:ascii="Book Antiqua" w:hAnsi="Book Antiqua"/>
          <w:szCs w:val="22"/>
        </w:rPr>
        <w:t>,</w:t>
      </w:r>
      <w:r w:rsidR="00CA2EE3" w:rsidRPr="00680B44">
        <w:rPr>
          <w:rFonts w:ascii="Book Antiqua" w:hAnsi="Book Antiqua"/>
          <w:b/>
          <w:szCs w:val="22"/>
        </w:rPr>
        <w:t xml:space="preserve"> </w:t>
      </w:r>
      <w:r w:rsidR="00595312" w:rsidRPr="00680B44">
        <w:rPr>
          <w:rFonts w:ascii="Book Antiqua" w:hAnsi="Book Antiqua"/>
          <w:szCs w:val="22"/>
        </w:rPr>
        <w:t>definisanje razvojnih prioriteta regiona i programi finansijske procene za razvojno promovisanje u razvojnom regionu</w:t>
      </w:r>
      <w:r w:rsidR="00DD1ED6" w:rsidRPr="00680B44">
        <w:rPr>
          <w:rFonts w:ascii="Book Antiqua" w:hAnsi="Book Antiqua"/>
          <w:szCs w:val="22"/>
        </w:rPr>
        <w:t xml:space="preserve">, </w:t>
      </w:r>
      <w:r w:rsidR="00595312" w:rsidRPr="00680B44">
        <w:rPr>
          <w:rFonts w:ascii="Book Antiqua" w:eastAsia="MS ??" w:hAnsi="Book Antiqua"/>
        </w:rPr>
        <w:t>izazovi, problemi i zastoji u oblasti regionalnog razvoja kojima se treba pozabaviti u cilju usklađivanja sa politikama regionalnog razvoja EU-a</w:t>
      </w:r>
      <w:r w:rsidR="00A820D9" w:rsidRPr="00680B44">
        <w:rPr>
          <w:rFonts w:ascii="Book Antiqua" w:eastAsia="MS ??" w:hAnsi="Book Antiqua"/>
        </w:rPr>
        <w:t>. P</w:t>
      </w:r>
      <w:r w:rsidR="00595312" w:rsidRPr="00680B44">
        <w:rPr>
          <w:rFonts w:ascii="Book Antiqua" w:eastAsia="MS ??" w:hAnsi="Book Antiqua"/>
        </w:rPr>
        <w:t>riprema dokumenta sa objašnjenjima je predviđena u planu rada MRR-a</w:t>
      </w:r>
      <w:r w:rsidR="00A820D9" w:rsidRPr="00680B44">
        <w:rPr>
          <w:rFonts w:ascii="Book Antiqua" w:eastAsia="MS ??" w:hAnsi="Book Antiqua"/>
        </w:rPr>
        <w:t xml:space="preserve"> 2020</w:t>
      </w:r>
      <w:r w:rsidR="00B6010B" w:rsidRPr="00680B44">
        <w:rPr>
          <w:rFonts w:ascii="Book Antiqua" w:eastAsia="SimSun" w:hAnsi="Book Antiqua"/>
          <w:color w:val="222222"/>
        </w:rPr>
        <w:t>.</w:t>
      </w:r>
    </w:p>
    <w:p w:rsidR="002B2EBD" w:rsidRPr="00680B44" w:rsidRDefault="002B2EBD" w:rsidP="00E87D0A">
      <w:pPr>
        <w:spacing w:after="160"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63292E" w:rsidRPr="00680B44" w:rsidRDefault="00595312" w:rsidP="00E87D0A">
      <w:pPr>
        <w:spacing w:after="160"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680B44">
        <w:rPr>
          <w:rFonts w:ascii="Book Antiqua" w:hAnsi="Book Antiqua"/>
          <w:b/>
          <w:sz w:val="28"/>
          <w:szCs w:val="28"/>
        </w:rPr>
        <w:t>Ciljevi Evropske unije za regionalni razvoj</w:t>
      </w:r>
      <w:r w:rsidR="00E87D0A" w:rsidRPr="00680B44">
        <w:rPr>
          <w:rFonts w:ascii="Book Antiqua" w:hAnsi="Book Antiqua"/>
          <w:b/>
          <w:sz w:val="28"/>
          <w:szCs w:val="28"/>
        </w:rPr>
        <w:t xml:space="preserve"> 2021 2027-</w:t>
      </w:r>
    </w:p>
    <w:p w:rsidR="00C65EC7" w:rsidRPr="00C65EC7" w:rsidRDefault="00680B44" w:rsidP="00C65EC7">
      <w:pPr>
        <w:spacing w:after="160" w:line="360" w:lineRule="auto"/>
        <w:jc w:val="both"/>
        <w:rPr>
          <w:rFonts w:ascii="Book Antiqua" w:eastAsia="MS Gothic" w:hAnsi="Book Antiqua"/>
        </w:rPr>
      </w:pPr>
      <w:r>
        <w:rPr>
          <w:rFonts w:ascii="Book Antiqua" w:eastAsia="MS Gothic" w:hAnsi="Book Antiqua"/>
        </w:rPr>
        <w:t>EU je definisala ciljeve regionalnog razvoja i kohezionu politike i posle 2020. godine. Ovaj novi okvir je na prvi pogled usredsređen na pet investicionih prednosti, gde će EU podstaći njene investicije za regionalni razvoj u sledećem periodu</w:t>
      </w:r>
      <w:r w:rsidR="00C65EC7" w:rsidRPr="00C65EC7">
        <w:rPr>
          <w:rFonts w:ascii="Book Antiqua" w:eastAsia="MS Gothic" w:hAnsi="Book Antiqua"/>
        </w:rPr>
        <w:t xml:space="preserve"> 2021-2027:</w:t>
      </w:r>
    </w:p>
    <w:p w:rsidR="00C65EC7" w:rsidRPr="00C65EC7" w:rsidRDefault="00680B44" w:rsidP="00C65EC7">
      <w:pPr>
        <w:spacing w:after="160" w:line="360" w:lineRule="auto"/>
        <w:jc w:val="both"/>
        <w:rPr>
          <w:rFonts w:ascii="Book Antiqua" w:eastAsia="MS Gothic" w:hAnsi="Book Antiqua"/>
        </w:rPr>
      </w:pPr>
      <w:r>
        <w:rPr>
          <w:rFonts w:ascii="Book Antiqua" w:eastAsia="MS Gothic" w:hAnsi="Book Antiqua"/>
        </w:rPr>
        <w:t xml:space="preserve">Investicije regionalnog razvoja biće snažno koncentrisane na ciljeve </w:t>
      </w:r>
      <w:r w:rsidR="00C65EC7" w:rsidRPr="00C65EC7">
        <w:rPr>
          <w:rFonts w:ascii="Book Antiqua" w:eastAsia="MS Gothic" w:hAnsi="Book Antiqua"/>
        </w:rPr>
        <w:t xml:space="preserve">1 </w:t>
      </w:r>
      <w:r>
        <w:rPr>
          <w:rFonts w:ascii="Book Antiqua" w:eastAsia="MS Gothic" w:hAnsi="Book Antiqua"/>
        </w:rPr>
        <w:t>i</w:t>
      </w:r>
      <w:r w:rsidR="00C65EC7" w:rsidRPr="00C65EC7">
        <w:rPr>
          <w:rFonts w:ascii="Book Antiqua" w:eastAsia="MS Gothic" w:hAnsi="Book Antiqua"/>
        </w:rPr>
        <w:t xml:space="preserve"> 2. 65% </w:t>
      </w:r>
      <w:r>
        <w:rPr>
          <w:rFonts w:ascii="Book Antiqua" w:eastAsia="MS Gothic" w:hAnsi="Book Antiqua"/>
        </w:rPr>
        <w:t>do</w:t>
      </w:r>
      <w:r w:rsidR="00C65EC7" w:rsidRPr="00C65EC7">
        <w:rPr>
          <w:rFonts w:ascii="Book Antiqua" w:eastAsia="MS Gothic" w:hAnsi="Book Antiqua"/>
        </w:rPr>
        <w:t xml:space="preserve"> 85% </w:t>
      </w:r>
      <w:r>
        <w:rPr>
          <w:rFonts w:ascii="Book Antiqua" w:eastAsia="MS Gothic" w:hAnsi="Book Antiqua"/>
        </w:rPr>
        <w:t>resursa</w:t>
      </w:r>
      <w:r w:rsidR="00C65EC7" w:rsidRPr="00C65EC7">
        <w:rPr>
          <w:rFonts w:ascii="Book Antiqua" w:eastAsia="MS Gothic" w:hAnsi="Book Antiqua"/>
        </w:rPr>
        <w:t xml:space="preserve"> ERDF</w:t>
      </w:r>
      <w:r w:rsidR="00B63A91">
        <w:rPr>
          <w:rFonts w:ascii="Book Antiqua" w:eastAsia="MS Gothic" w:hAnsi="Book Antiqua"/>
        </w:rPr>
        <w:t>-a i Kohezionog fonda biće izdvojeno za ove prednosti, u zavisnosti od relativnog bogatstva država članica, i to</w:t>
      </w:r>
      <w:r w:rsidR="00C65EC7" w:rsidRPr="00C65EC7">
        <w:rPr>
          <w:rFonts w:ascii="Book Antiqua" w:eastAsia="MS Gothic" w:hAnsi="Book Antiqua"/>
        </w:rPr>
        <w:t>:</w:t>
      </w:r>
    </w:p>
    <w:p w:rsidR="00C65EC7" w:rsidRPr="00C65EC7" w:rsidRDefault="00B63A91" w:rsidP="00C65EC7">
      <w:pPr>
        <w:spacing w:after="160" w:line="360" w:lineRule="auto"/>
        <w:jc w:val="both"/>
        <w:rPr>
          <w:rFonts w:ascii="Book Antiqua" w:eastAsia="MS Gothic" w:hAnsi="Book Antiqua"/>
          <w:b/>
        </w:rPr>
      </w:pPr>
      <w:r>
        <w:rPr>
          <w:rFonts w:ascii="Book Antiqua" w:eastAsia="MS Gothic" w:hAnsi="Book Antiqua"/>
          <w:color w:val="0070C0"/>
        </w:rPr>
        <w:t>Prvi cilj</w:t>
      </w:r>
      <w:r w:rsidR="00C65EC7" w:rsidRPr="00C65EC7">
        <w:rPr>
          <w:rFonts w:ascii="Book Antiqua" w:eastAsia="MS Gothic" w:hAnsi="Book Antiqua"/>
          <w:b/>
          <w:color w:val="0070C0"/>
        </w:rPr>
        <w:t xml:space="preserve">: </w:t>
      </w:r>
      <w:r>
        <w:rPr>
          <w:rFonts w:ascii="Book Antiqua" w:eastAsia="MS Gothic" w:hAnsi="Book Antiqua"/>
          <w:b/>
        </w:rPr>
        <w:t>Probuđena Evropa, kroz inovacije</w:t>
      </w:r>
      <w:r w:rsidR="00C65EC7" w:rsidRPr="00C65EC7">
        <w:rPr>
          <w:rFonts w:ascii="Book Antiqua" w:eastAsia="MS Gothic" w:hAnsi="Book Antiqua"/>
          <w:b/>
        </w:rPr>
        <w:t xml:space="preserve">: </w:t>
      </w:r>
      <w:r>
        <w:rPr>
          <w:rFonts w:ascii="Book Antiqua" w:eastAsia="MS Gothic" w:hAnsi="Book Antiqua"/>
          <w:b/>
        </w:rPr>
        <w:t>digitalizacije, ekonomske transformacije i podrške za mala i srednja preduzeća</w:t>
      </w:r>
      <w:r w:rsidR="00C65EC7" w:rsidRPr="00C65EC7">
        <w:rPr>
          <w:rFonts w:ascii="Book Antiqua" w:eastAsia="MS Gothic" w:hAnsi="Book Antiqua"/>
          <w:b/>
        </w:rPr>
        <w:t>;</w:t>
      </w:r>
    </w:p>
    <w:p w:rsidR="00C65EC7" w:rsidRPr="00C65EC7" w:rsidRDefault="00B63A91" w:rsidP="00C65EC7">
      <w:pPr>
        <w:spacing w:after="160" w:line="360" w:lineRule="auto"/>
        <w:jc w:val="both"/>
        <w:rPr>
          <w:rFonts w:ascii="Book Antiqua" w:eastAsia="MS Gothic" w:hAnsi="Book Antiqua"/>
        </w:rPr>
      </w:pPr>
      <w:r>
        <w:rPr>
          <w:rFonts w:ascii="Book Antiqua" w:eastAsia="MS Gothic" w:hAnsi="Book Antiqua"/>
          <w:color w:val="0070C0"/>
        </w:rPr>
        <w:t>Drugi cilj</w:t>
      </w:r>
      <w:r w:rsidR="00C65EC7" w:rsidRPr="00C65EC7">
        <w:rPr>
          <w:rFonts w:ascii="Book Antiqua" w:eastAsia="MS Gothic" w:hAnsi="Book Antiqua"/>
          <w:color w:val="0070C0"/>
        </w:rPr>
        <w:t>:</w:t>
      </w:r>
      <w:r w:rsidR="00C65EC7" w:rsidRPr="00C65EC7">
        <w:rPr>
          <w:rFonts w:ascii="Book Antiqua" w:eastAsia="MS Gothic" w:hAnsi="Book Antiqua"/>
          <w:b/>
          <w:color w:val="0070C0"/>
        </w:rPr>
        <w:t xml:space="preserve"> </w:t>
      </w:r>
      <w:r w:rsidR="00F517D6">
        <w:rPr>
          <w:rFonts w:ascii="Book Antiqua" w:eastAsia="MS Gothic" w:hAnsi="Book Antiqua"/>
          <w:b/>
        </w:rPr>
        <w:t>Zelenija</w:t>
      </w:r>
      <w:r>
        <w:rPr>
          <w:rFonts w:ascii="Book Antiqua" w:eastAsia="MS Gothic" w:hAnsi="Book Antiqua"/>
          <w:b/>
        </w:rPr>
        <w:t xml:space="preserve"> Evropa</w:t>
      </w:r>
      <w:r w:rsidR="00C65EC7" w:rsidRPr="00C65EC7">
        <w:rPr>
          <w:rFonts w:ascii="Book Antiqua" w:eastAsia="MS Gothic" w:hAnsi="Book Antiqua"/>
          <w:b/>
        </w:rPr>
        <w:t xml:space="preserve">: </w:t>
      </w:r>
      <w:r>
        <w:rPr>
          <w:rFonts w:ascii="Book Antiqua" w:eastAsia="MS Gothic" w:hAnsi="Book Antiqua"/>
          <w:b/>
        </w:rPr>
        <w:t>bez ugljenika, kroz sprovođenje Pariskog sporazuma i kroz ulaganje u energetsku tranziciju, obnovu energije i borbu protiv klimatskih promena</w:t>
      </w:r>
      <w:r w:rsidR="00C65EC7" w:rsidRPr="00C65EC7">
        <w:rPr>
          <w:rFonts w:ascii="Book Antiqua" w:eastAsia="MS Gothic" w:hAnsi="Book Antiqua"/>
          <w:b/>
        </w:rPr>
        <w:t>;</w:t>
      </w:r>
    </w:p>
    <w:p w:rsidR="00C65EC7" w:rsidRPr="00C65EC7" w:rsidRDefault="00B63A91" w:rsidP="00C65EC7">
      <w:pPr>
        <w:spacing w:after="160" w:line="360" w:lineRule="auto"/>
        <w:jc w:val="both"/>
        <w:rPr>
          <w:rFonts w:ascii="Book Antiqua" w:eastAsia="MS Gothic" w:hAnsi="Book Antiqua"/>
          <w:b/>
        </w:rPr>
      </w:pPr>
      <w:r>
        <w:rPr>
          <w:rFonts w:ascii="Book Antiqua" w:eastAsia="MS Gothic" w:hAnsi="Book Antiqua"/>
          <w:color w:val="0070C0"/>
        </w:rPr>
        <w:t>Treći cilj</w:t>
      </w:r>
      <w:r w:rsidR="00C65EC7" w:rsidRPr="00C65EC7">
        <w:rPr>
          <w:rFonts w:ascii="Book Antiqua" w:eastAsia="MS Gothic" w:hAnsi="Book Antiqua"/>
          <w:color w:val="0070C0"/>
        </w:rPr>
        <w:t>:</w:t>
      </w:r>
      <w:r w:rsidR="00C65EC7" w:rsidRPr="00C65EC7">
        <w:rPr>
          <w:rFonts w:ascii="Book Antiqua" w:eastAsia="MS Gothic" w:hAnsi="Book Antiqua"/>
          <w:b/>
          <w:color w:val="0070C0"/>
        </w:rPr>
        <w:t xml:space="preserve"> </w:t>
      </w:r>
      <w:r>
        <w:rPr>
          <w:rFonts w:ascii="Book Antiqua" w:eastAsia="MS Gothic" w:hAnsi="Book Antiqua"/>
          <w:b/>
        </w:rPr>
        <w:t>Povezanija Evropa</w:t>
      </w:r>
      <w:r w:rsidR="00C65EC7" w:rsidRPr="00C65EC7">
        <w:rPr>
          <w:rFonts w:ascii="Book Antiqua" w:eastAsia="MS Gothic" w:hAnsi="Book Antiqua"/>
          <w:b/>
        </w:rPr>
        <w:t xml:space="preserve">: </w:t>
      </w:r>
      <w:r>
        <w:rPr>
          <w:rFonts w:ascii="Book Antiqua" w:eastAsia="MS Gothic" w:hAnsi="Book Antiqua"/>
          <w:b/>
        </w:rPr>
        <w:t>strateškim prevozom i digitalnim mrežama</w:t>
      </w:r>
      <w:r w:rsidR="00C65EC7" w:rsidRPr="00C65EC7">
        <w:rPr>
          <w:rFonts w:ascii="Book Antiqua" w:eastAsia="MS Gothic" w:hAnsi="Book Antiqua"/>
          <w:b/>
        </w:rPr>
        <w:t>;</w:t>
      </w:r>
    </w:p>
    <w:p w:rsidR="00C65EC7" w:rsidRPr="00C65EC7" w:rsidRDefault="00F517D6" w:rsidP="00C65EC7">
      <w:pPr>
        <w:spacing w:after="160" w:line="360" w:lineRule="auto"/>
        <w:jc w:val="both"/>
        <w:rPr>
          <w:rFonts w:ascii="Book Antiqua" w:eastAsia="MS Gothic" w:hAnsi="Book Antiqua"/>
          <w:b/>
        </w:rPr>
      </w:pPr>
      <w:r>
        <w:rPr>
          <w:rFonts w:ascii="Book Antiqua" w:eastAsia="MS Gothic" w:hAnsi="Book Antiqua"/>
          <w:color w:val="0070C0"/>
        </w:rPr>
        <w:lastRenderedPageBreak/>
        <w:t>Četvrti cilj</w:t>
      </w:r>
      <w:r w:rsidR="00C65EC7" w:rsidRPr="00C65EC7">
        <w:rPr>
          <w:rFonts w:ascii="Book Antiqua" w:eastAsia="MS Gothic" w:hAnsi="Book Antiqua"/>
          <w:color w:val="0070C0"/>
        </w:rPr>
        <w:t>:</w:t>
      </w:r>
      <w:r w:rsidR="00C65EC7" w:rsidRPr="00C65EC7">
        <w:rPr>
          <w:rFonts w:ascii="Book Antiqua" w:eastAsia="MS Gothic" w:hAnsi="Book Antiqua"/>
          <w:b/>
          <w:color w:val="0070C0"/>
        </w:rPr>
        <w:t xml:space="preserve"> </w:t>
      </w:r>
      <w:r>
        <w:rPr>
          <w:rFonts w:ascii="Book Antiqua" w:eastAsia="MS Gothic" w:hAnsi="Book Antiqua"/>
          <w:b/>
        </w:rPr>
        <w:t xml:space="preserve">Socijalnija </w:t>
      </w:r>
      <w:r w:rsidR="00C65EC7" w:rsidRPr="00C65EC7">
        <w:rPr>
          <w:rFonts w:ascii="Book Antiqua" w:eastAsia="MS Gothic" w:hAnsi="Book Antiqua"/>
          <w:b/>
        </w:rPr>
        <w:t xml:space="preserve"> Evrop</w:t>
      </w:r>
      <w:r>
        <w:rPr>
          <w:rFonts w:ascii="Book Antiqua" w:eastAsia="MS Gothic" w:hAnsi="Book Antiqua"/>
          <w:b/>
        </w:rPr>
        <w:t>a</w:t>
      </w:r>
      <w:r w:rsidR="00C65EC7" w:rsidRPr="00C65EC7">
        <w:rPr>
          <w:rFonts w:ascii="Book Antiqua" w:eastAsia="MS Gothic" w:hAnsi="Book Antiqua"/>
          <w:b/>
        </w:rPr>
        <w:t xml:space="preserve">: </w:t>
      </w:r>
      <w:r w:rsidR="00C17ED8" w:rsidRPr="00C17ED8">
        <w:rPr>
          <w:rFonts w:ascii="Book Antiqua" w:eastAsia="MS Gothic" w:hAnsi="Book Antiqua"/>
        </w:rPr>
        <w:t>pružajući</w:t>
      </w:r>
      <w:r w:rsidR="00C17ED8">
        <w:rPr>
          <w:rFonts w:ascii="Book Antiqua" w:eastAsia="MS Gothic" w:hAnsi="Book Antiqua"/>
          <w:b/>
        </w:rPr>
        <w:t xml:space="preserve"> </w:t>
      </w:r>
      <w:r w:rsidR="00C17ED8">
        <w:rPr>
          <w:rFonts w:ascii="Book Antiqua" w:eastAsia="MS Gothic" w:hAnsi="Book Antiqua"/>
        </w:rPr>
        <w:t>u Evropskom stubu socijalnih prava i podržavajući kvalitetno zapošljavanje, obrazovanje, veštine, socijalno uključivanje i ravnopravan pristup zdravstvenoj nezi</w:t>
      </w:r>
      <w:r w:rsidR="00C65EC7" w:rsidRPr="00C65EC7">
        <w:rPr>
          <w:rFonts w:ascii="Book Antiqua" w:eastAsia="MS Gothic" w:hAnsi="Book Antiqua"/>
          <w:b/>
        </w:rPr>
        <w:t>;</w:t>
      </w:r>
    </w:p>
    <w:p w:rsidR="00C65EC7" w:rsidRPr="00C65EC7" w:rsidRDefault="00F517D6" w:rsidP="00C65EC7">
      <w:pPr>
        <w:spacing w:after="160" w:line="360" w:lineRule="auto"/>
        <w:jc w:val="both"/>
        <w:rPr>
          <w:rFonts w:ascii="Book Antiqua" w:hAnsi="Book Antiqua"/>
          <w:b/>
          <w:szCs w:val="22"/>
        </w:rPr>
      </w:pPr>
      <w:r>
        <w:rPr>
          <w:rFonts w:ascii="Book Antiqua" w:eastAsia="MS Gothic" w:hAnsi="Book Antiqua"/>
          <w:color w:val="0070C0"/>
        </w:rPr>
        <w:t>Peti cilj</w:t>
      </w:r>
      <w:r w:rsidR="00C65EC7" w:rsidRPr="00C65EC7">
        <w:rPr>
          <w:rFonts w:ascii="Book Antiqua" w:eastAsia="MS Gothic" w:hAnsi="Book Antiqua"/>
          <w:color w:val="0070C0"/>
        </w:rPr>
        <w:t>:</w:t>
      </w:r>
      <w:r w:rsidR="00C65EC7" w:rsidRPr="00C65EC7">
        <w:rPr>
          <w:rFonts w:ascii="Book Antiqua" w:eastAsia="MS Gothic" w:hAnsi="Book Antiqua"/>
          <w:b/>
          <w:color w:val="0070C0"/>
        </w:rPr>
        <w:t xml:space="preserve"> </w:t>
      </w:r>
      <w:r>
        <w:rPr>
          <w:rFonts w:ascii="Book Antiqua" w:eastAsia="MS Gothic" w:hAnsi="Book Antiqua"/>
          <w:b/>
        </w:rPr>
        <w:t>Evropa bliža građanima</w:t>
      </w:r>
      <w:r w:rsidR="00C65EC7" w:rsidRPr="00C65EC7">
        <w:rPr>
          <w:rFonts w:ascii="Book Antiqua" w:eastAsia="MS Gothic" w:hAnsi="Book Antiqua"/>
          <w:b/>
        </w:rPr>
        <w:t>:</w:t>
      </w:r>
      <w:r w:rsidR="00C65EC7" w:rsidRPr="00C65EC7">
        <w:rPr>
          <w:rFonts w:ascii="Book Antiqua" w:eastAsia="MS Gothic" w:hAnsi="Book Antiqua"/>
        </w:rPr>
        <w:t xml:space="preserve"> </w:t>
      </w:r>
      <w:r w:rsidR="00C17ED8">
        <w:rPr>
          <w:rFonts w:ascii="Book Antiqua" w:eastAsia="MS Gothic" w:hAnsi="Book Antiqua"/>
        </w:rPr>
        <w:t>podržajući strategiju razvoja koja je vođena od strane zemlje i održivi urbani razvoj u čitavoj EU</w:t>
      </w:r>
      <w:r w:rsidR="00C65EC7" w:rsidRPr="00C65EC7">
        <w:rPr>
          <w:rFonts w:ascii="Book Antiqua" w:eastAsia="MS Gothic" w:hAnsi="Book Antiqua"/>
        </w:rPr>
        <w:t>.</w:t>
      </w:r>
    </w:p>
    <w:p w:rsidR="00C65EC7" w:rsidRPr="00C65EC7" w:rsidRDefault="00C65EC7" w:rsidP="00C65EC7">
      <w:pPr>
        <w:spacing w:after="200" w:line="360" w:lineRule="auto"/>
        <w:jc w:val="both"/>
        <w:rPr>
          <w:rFonts w:ascii="Book Antiqua" w:hAnsi="Book Antiqua"/>
          <w:b/>
          <w:color w:val="0070C0"/>
          <w:sz w:val="28"/>
          <w:szCs w:val="28"/>
        </w:rPr>
      </w:pPr>
    </w:p>
    <w:p w:rsidR="00C65EC7" w:rsidRPr="00C65EC7" w:rsidRDefault="00C65EC7" w:rsidP="00C65EC7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133908">
        <w:rPr>
          <w:rFonts w:ascii="Book Antiqua" w:hAnsi="Book Antiqua"/>
          <w:b/>
          <w:sz w:val="28"/>
          <w:szCs w:val="28"/>
        </w:rPr>
        <w:t>Prioritet</w:t>
      </w:r>
      <w:r w:rsidR="00CA3D96" w:rsidRPr="00133908">
        <w:rPr>
          <w:rFonts w:ascii="Book Antiqua" w:hAnsi="Book Antiqua"/>
          <w:b/>
          <w:sz w:val="28"/>
          <w:szCs w:val="28"/>
        </w:rPr>
        <w:t>i</w:t>
      </w:r>
      <w:r w:rsidR="00CA3D96">
        <w:rPr>
          <w:rFonts w:ascii="Book Antiqua" w:hAnsi="Book Antiqua"/>
          <w:b/>
          <w:sz w:val="28"/>
          <w:szCs w:val="28"/>
        </w:rPr>
        <w:t xml:space="preserve"> Evropske unije za regionalni razvoj </w:t>
      </w:r>
      <w:r w:rsidRPr="00C65EC7">
        <w:rPr>
          <w:rFonts w:ascii="Book Antiqua" w:hAnsi="Book Antiqua"/>
          <w:b/>
          <w:sz w:val="28"/>
          <w:szCs w:val="28"/>
        </w:rPr>
        <w:t xml:space="preserve">2021 2027- </w:t>
      </w:r>
    </w:p>
    <w:p w:rsidR="00C65EC7" w:rsidRPr="00680B44" w:rsidRDefault="00CA3D96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sledeći dugoročni budžet Evropske unije </w:t>
      </w:r>
      <w:r w:rsidR="00C65EC7" w:rsidRPr="00680B44">
        <w:rPr>
          <w:rFonts w:ascii="Book Antiqua" w:hAnsi="Book Antiqua"/>
        </w:rPr>
        <w:t>(</w:t>
      </w:r>
      <w:r>
        <w:rPr>
          <w:rFonts w:ascii="Book Antiqua" w:hAnsi="Book Antiqua"/>
        </w:rPr>
        <w:t>EU)</w:t>
      </w:r>
      <w:r w:rsidR="00C65EC7" w:rsidRPr="00680B44">
        <w:rPr>
          <w:rFonts w:ascii="Book Antiqua" w:hAnsi="Book Antiqua"/>
        </w:rPr>
        <w:t xml:space="preserve">,  2021-2027, </w:t>
      </w:r>
      <w:r>
        <w:rPr>
          <w:rFonts w:ascii="Book Antiqua" w:hAnsi="Book Antiqua"/>
        </w:rPr>
        <w:t>Komisija predlaže modernizaciju kohezione politike, glavne politike EU-a za konkretne investicije EU-a u uravnoteženi ekonomski razvoj</w:t>
      </w:r>
      <w:r w:rsidR="00C65EC7" w:rsidRPr="00680B44">
        <w:rPr>
          <w:rFonts w:ascii="Book Antiqua" w:hAnsi="Book Antiqua"/>
        </w:rPr>
        <w:t>.</w:t>
      </w:r>
    </w:p>
    <w:p w:rsidR="00C65EC7" w:rsidRPr="00680B44" w:rsidRDefault="00CA3D96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Glavne karakteristike predloga Komisije za moderniju kohezionu politiku su</w:t>
      </w:r>
      <w:r w:rsidR="00C65EC7" w:rsidRPr="00680B44">
        <w:rPr>
          <w:rFonts w:ascii="Book Antiqua" w:hAnsi="Book Antiqua"/>
        </w:rPr>
        <w:t>:</w:t>
      </w:r>
    </w:p>
    <w:p w:rsidR="00C65EC7" w:rsidRPr="00680B44" w:rsidRDefault="00CA3D96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color w:val="0070C0"/>
        </w:rPr>
        <w:t>Prioritet</w:t>
      </w:r>
      <w:r w:rsidR="00133908">
        <w:rPr>
          <w:rFonts w:ascii="Book Antiqua" w:hAnsi="Book Antiqua"/>
          <w:color w:val="0070C0"/>
        </w:rPr>
        <w:t xml:space="preserve"> 1:</w:t>
      </w:r>
      <w:r w:rsidR="00C65EC7" w:rsidRPr="00680B44">
        <w:rPr>
          <w:rFonts w:ascii="Book Antiqua" w:hAnsi="Book Antiqua"/>
          <w:color w:val="0070C0"/>
          <w:vertAlign w:val="superscript"/>
        </w:rPr>
        <w:footnoteReference w:id="4"/>
      </w:r>
      <w:r>
        <w:rPr>
          <w:rFonts w:ascii="Book Antiqua" w:hAnsi="Book Antiqua"/>
        </w:rPr>
        <w:t>Fokusiranje na glavne prednosti investicija, gde EU je prikladnija da obezbedi</w:t>
      </w:r>
      <w:r w:rsidR="00C65EC7" w:rsidRPr="00680B44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najveći deo Evropskog fonda za regionalni razvoj </w:t>
      </w:r>
      <w:r w:rsidR="00133908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inve</w:t>
      </w:r>
      <w:r w:rsidR="00A273B8">
        <w:rPr>
          <w:rFonts w:ascii="Book Antiqua" w:hAnsi="Book Antiqua"/>
        </w:rPr>
        <w:t>sticije Kohezionog fonda biće usmerene ka inovacijama, podršci za mala preduzeća, digitalne tehnologije i industrijskoj modernizaciji. Takođe, EU će posvetiti veliku pažnju premeštanju ka razvijenoj ekonomiji sa malim emisijama ugljena, i borbi protiv klimatskih promena, u skladu sa Pariskim sporazumom</w:t>
      </w:r>
      <w:r w:rsidR="00C65EC7" w:rsidRPr="00680B44">
        <w:rPr>
          <w:rFonts w:ascii="Book Antiqua" w:hAnsi="Book Antiqua"/>
        </w:rPr>
        <w:t>.</w:t>
      </w:r>
    </w:p>
    <w:p w:rsidR="00C65EC7" w:rsidRPr="00680B44" w:rsidRDefault="00A273B8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color w:val="0070C0"/>
        </w:rPr>
        <w:t>Prioritet</w:t>
      </w:r>
      <w:r w:rsidR="00C65EC7" w:rsidRPr="00680B44">
        <w:rPr>
          <w:rFonts w:ascii="Book Antiqua" w:hAnsi="Book Antiqua"/>
          <w:color w:val="0070C0"/>
        </w:rPr>
        <w:t xml:space="preserve"> 2. </w:t>
      </w:r>
      <w:r w:rsidRPr="00A273B8">
        <w:rPr>
          <w:rFonts w:ascii="Book Antiqua" w:hAnsi="Book Antiqua"/>
        </w:rPr>
        <w:t>Koheziona politika za sve regione i prikladniji pristup za regionalni razvoj</w:t>
      </w:r>
      <w:r w:rsidR="00C65EC7" w:rsidRPr="00680B44">
        <w:rPr>
          <w:rFonts w:ascii="Book Antiqua" w:hAnsi="Book Antiqua"/>
        </w:rPr>
        <w:t>:</w:t>
      </w:r>
    </w:p>
    <w:p w:rsidR="00C65EC7" w:rsidRPr="00680B44" w:rsidRDefault="00A273B8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Investicije u svim regionima</w:t>
      </w:r>
      <w:r w:rsidR="00C65EC7" w:rsidRPr="00680B44">
        <w:rPr>
          <w:rFonts w:ascii="Book Antiqua" w:hAnsi="Book Antiqua"/>
          <w:b/>
        </w:rPr>
        <w:t>:</w:t>
      </w:r>
      <w:r w:rsidR="00C65EC7" w:rsidRPr="00680B44">
        <w:rPr>
          <w:rFonts w:ascii="Book Antiqua" w:hAnsi="Book Antiqua"/>
        </w:rPr>
        <w:t xml:space="preserve"> R</w:t>
      </w:r>
      <w:r>
        <w:rPr>
          <w:rFonts w:ascii="Book Antiqua" w:hAnsi="Book Antiqua"/>
        </w:rPr>
        <w:t>egioni koji su i dalje ostali u pravcu postizanja ili prihoda –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 xml:space="preserve">koji se </w:t>
      </w:r>
      <w:r>
        <w:rPr>
          <w:rFonts w:ascii="Book Antiqua" w:hAnsi="Book Antiqua"/>
        </w:rPr>
        <w:t>uglavnom</w:t>
      </w:r>
      <w:r w:rsidR="006B1A61">
        <w:rPr>
          <w:rFonts w:ascii="Book Antiqua" w:hAnsi="Book Antiqua"/>
        </w:rPr>
        <w:t xml:space="preserve"> nalaze n</w:t>
      </w:r>
      <w:r w:rsidR="00FD2C2A">
        <w:rPr>
          <w:rFonts w:ascii="Book Antiqua" w:hAnsi="Book Antiqua"/>
        </w:rPr>
        <w:t>a jugu i istoku Evrope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–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nastaviće da ostvare korist od važne podrške EU-a. Koheziona politika nastaviće da ulaže u svim regionima, obzirom da mnogi od njih u celoj Evropi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–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uključujući najbogatije države članice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–</w:t>
      </w:r>
      <w:r w:rsidR="00C65EC7" w:rsidRPr="00680B44">
        <w:rPr>
          <w:rFonts w:ascii="Book Antiqua" w:hAnsi="Book Antiqua"/>
        </w:rPr>
        <w:t xml:space="preserve"> </w:t>
      </w:r>
      <w:r w:rsidR="00FD2C2A">
        <w:rPr>
          <w:rFonts w:ascii="Book Antiqua" w:hAnsi="Book Antiqua"/>
        </w:rPr>
        <w:t>bore se da postignu industrijsku tranziciju, kako bi se borili protiv nezaposlenosti i kako bi održali jednu globalizovanu ekonomiju</w:t>
      </w:r>
      <w:r w:rsidR="00C65EC7" w:rsidRPr="00680B44">
        <w:rPr>
          <w:rFonts w:ascii="Book Antiqua" w:hAnsi="Book Antiqua"/>
        </w:rPr>
        <w:t>;</w:t>
      </w:r>
    </w:p>
    <w:p w:rsidR="00C65EC7" w:rsidRPr="00680B44" w:rsidRDefault="00FD2C2A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Prilagođeni pristup</w:t>
      </w:r>
      <w:r w:rsidR="00C65EC7" w:rsidRPr="00680B44">
        <w:rPr>
          <w:rFonts w:ascii="Book Antiqua" w:hAnsi="Book Antiqua"/>
          <w:b/>
        </w:rPr>
        <w:t>:</w:t>
      </w:r>
      <w:r w:rsidR="00C65EC7" w:rsidRPr="00680B4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Koheziona politika deli se u tri kategorije</w:t>
      </w:r>
      <w:r w:rsidR="00C65EC7" w:rsidRPr="00680B44">
        <w:rPr>
          <w:rFonts w:ascii="Book Antiqua" w:hAnsi="Book Antiqua"/>
        </w:rPr>
        <w:t xml:space="preserve">: 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</w:rPr>
      </w:pPr>
      <w:r w:rsidRPr="00680B44">
        <w:rPr>
          <w:rFonts w:ascii="Book Antiqua" w:hAnsi="Book Antiqua"/>
        </w:rPr>
        <w:lastRenderedPageBreak/>
        <w:t xml:space="preserve">- </w:t>
      </w:r>
      <w:r w:rsidR="00A83298">
        <w:rPr>
          <w:rFonts w:ascii="Book Antiqua" w:hAnsi="Book Antiqua"/>
        </w:rPr>
        <w:t>Manje razvijeni regioni, tranzicija i više razvijeni regioni</w:t>
      </w:r>
      <w:r w:rsidRPr="00680B44">
        <w:rPr>
          <w:rFonts w:ascii="Book Antiqua" w:hAnsi="Book Antiqua"/>
        </w:rPr>
        <w:t xml:space="preserve">. </w:t>
      </w:r>
      <w:r w:rsidR="00A83298">
        <w:rPr>
          <w:rFonts w:ascii="Book Antiqua" w:hAnsi="Book Antiqua"/>
        </w:rPr>
        <w:t xml:space="preserve">Za smanjenje nejednakosti i za pružanje pomoći regionima sa niskim prihodima i niskim rastom, BDP po glavi ostaje preovlađujući kriterijum za raspodelu fondova. Štaviše, novi kriterijumi imaju za cilj bolje oslikavanje </w:t>
      </w:r>
      <w:r w:rsidR="006B1A61">
        <w:rPr>
          <w:rFonts w:ascii="Book Antiqua" w:hAnsi="Book Antiqua"/>
        </w:rPr>
        <w:t>stvarnosti</w:t>
      </w:r>
      <w:r w:rsidR="00A83298">
        <w:rPr>
          <w:rFonts w:ascii="Book Antiqua" w:hAnsi="Book Antiqua"/>
        </w:rPr>
        <w:t xml:space="preserve"> na terenu</w:t>
      </w:r>
      <w:r w:rsidRPr="00680B44">
        <w:rPr>
          <w:rFonts w:ascii="Book Antiqua" w:hAnsi="Book Antiqua"/>
        </w:rPr>
        <w:t xml:space="preserve"> </w:t>
      </w:r>
      <w:r w:rsidR="00A83298">
        <w:rPr>
          <w:rFonts w:ascii="Book Antiqua" w:hAnsi="Book Antiqua"/>
        </w:rPr>
        <w:t>–</w:t>
      </w:r>
      <w:r w:rsidRPr="00680B44">
        <w:rPr>
          <w:rFonts w:ascii="Book Antiqua" w:hAnsi="Book Antiqua"/>
        </w:rPr>
        <w:t xml:space="preserve"> </w:t>
      </w:r>
      <w:r w:rsidR="00A83298">
        <w:rPr>
          <w:rFonts w:ascii="Book Antiqua" w:hAnsi="Book Antiqua"/>
        </w:rPr>
        <w:t>nezaposlenost mladih, nizak obrazovni nivo, promena klime i prijem i integracija emigranata</w:t>
      </w:r>
      <w:r w:rsidRPr="00680B44">
        <w:rPr>
          <w:rFonts w:ascii="Book Antiqua" w:hAnsi="Book Antiqua"/>
        </w:rPr>
        <w:t>.</w:t>
      </w:r>
    </w:p>
    <w:p w:rsidR="00C65EC7" w:rsidRPr="00680B44" w:rsidRDefault="00A83298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Vođena lokacijom</w:t>
      </w:r>
      <w:r w:rsidR="00C65EC7" w:rsidRPr="00680B44">
        <w:rPr>
          <w:rFonts w:ascii="Book Antiqua" w:hAnsi="Book Antiqua"/>
          <w:b/>
        </w:rPr>
        <w:t>:</w:t>
      </w:r>
      <w:r w:rsidR="00C65EC7" w:rsidRPr="00680B4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Koheziona politika</w:t>
      </w:r>
      <w:r w:rsidR="00C65EC7" w:rsidRPr="00680B44">
        <w:rPr>
          <w:rFonts w:ascii="Book Antiqua" w:hAnsi="Book Antiqua"/>
        </w:rPr>
        <w:t xml:space="preserve"> 2021-2027 </w:t>
      </w:r>
      <w:r>
        <w:rPr>
          <w:rFonts w:ascii="Book Antiqua" w:hAnsi="Book Antiqua"/>
        </w:rPr>
        <w:t xml:space="preserve">je Evropa koja osnažuje, podržavajući </w:t>
      </w:r>
      <w:r w:rsidR="001E3DAC">
        <w:rPr>
          <w:rFonts w:ascii="Book Antiqua" w:hAnsi="Book Antiqua"/>
        </w:rPr>
        <w:t>strategiju razvoja koju vodi zemlja</w:t>
      </w:r>
      <w:r w:rsidR="00C65EC7" w:rsidRPr="00680B44">
        <w:rPr>
          <w:rFonts w:ascii="Book Antiqua" w:hAnsi="Book Antiqua"/>
        </w:rPr>
        <w:t xml:space="preserve">. </w:t>
      </w:r>
      <w:r w:rsidR="001E3DAC">
        <w:rPr>
          <w:rFonts w:ascii="Book Antiqua" w:hAnsi="Book Antiqua"/>
        </w:rPr>
        <w:t>Lokalne, gradske i teritorijalne vlasti biće više uključene u upravljanju fondovima EU-a, dok rastući nivoi sufinansiranja poboljšaće vlasništvo projekata finansiranih od strane EU-a u regionima i gradovima</w:t>
      </w:r>
      <w:r w:rsidR="00C65EC7" w:rsidRPr="00680B44">
        <w:rPr>
          <w:rFonts w:ascii="Book Antiqua" w:hAnsi="Book Antiqua"/>
        </w:rPr>
        <w:t>.</w:t>
      </w:r>
    </w:p>
    <w:p w:rsidR="00C65EC7" w:rsidRPr="00680B44" w:rsidRDefault="001E3DAC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color w:val="2E74B5"/>
        </w:rPr>
        <w:t>Prioritet</w:t>
      </w:r>
      <w:r w:rsidR="00C65EC7" w:rsidRPr="00680B44">
        <w:rPr>
          <w:rFonts w:ascii="Book Antiqua" w:hAnsi="Book Antiqua"/>
          <w:color w:val="2E74B5"/>
        </w:rPr>
        <w:t xml:space="preserve"> 3.  </w:t>
      </w:r>
      <w:r w:rsidRPr="001E3DAC">
        <w:rPr>
          <w:rFonts w:ascii="Book Antiqua" w:hAnsi="Book Antiqua"/>
        </w:rPr>
        <w:t>Fleksibilnija, jasnija i kraća pravila, i fleksibilniji okvir</w:t>
      </w:r>
      <w:r w:rsidR="00C65EC7" w:rsidRPr="00680B44">
        <w:rPr>
          <w:rFonts w:ascii="Book Antiqua" w:hAnsi="Book Antiqua"/>
          <w:vertAlign w:val="superscript"/>
        </w:rPr>
        <w:footnoteReference w:id="5"/>
      </w:r>
      <w:r w:rsidR="00C65EC7" w:rsidRPr="00680B44">
        <w:rPr>
          <w:rFonts w:ascii="Book Antiqua" w:hAnsi="Book Antiqua"/>
        </w:rPr>
        <w:t>:</w:t>
      </w:r>
    </w:p>
    <w:p w:rsidR="00C65EC7" w:rsidRPr="00680B44" w:rsidRDefault="001E3DAC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Pojednostavljivanje pristupa fondovima</w:t>
      </w:r>
      <w:r w:rsidR="00C65EC7" w:rsidRPr="00680B44">
        <w:rPr>
          <w:rFonts w:ascii="Book Antiqua" w:hAnsi="Book Antiqua"/>
          <w:b/>
        </w:rPr>
        <w:t xml:space="preserve">; </w:t>
      </w:r>
      <w:r w:rsidR="00C65EC7" w:rsidRPr="00680B44">
        <w:rPr>
          <w:rFonts w:ascii="Book Antiqua" w:hAnsi="Book Antiqua"/>
        </w:rPr>
        <w:t>Komisi</w:t>
      </w:r>
      <w:r>
        <w:rPr>
          <w:rFonts w:ascii="Book Antiqua" w:hAnsi="Book Antiqua"/>
        </w:rPr>
        <w:t>ja predlaže da pravila postanu manje složenija u narednom dugoročnom budžetu EU-a, i sa lakšim procedurama kontrole za preduzeća i preduzetnike koji ostvaruju korist od podrške EU-a</w:t>
      </w:r>
      <w:r w:rsidR="00C65EC7" w:rsidRPr="00680B44">
        <w:rPr>
          <w:rFonts w:ascii="Book Antiqua" w:hAnsi="Book Antiqua"/>
        </w:rPr>
        <w:t>;</w:t>
      </w:r>
    </w:p>
    <w:p w:rsidR="00C65EC7" w:rsidRPr="00680B44" w:rsidRDefault="0040208B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Jedinstvena uredba</w:t>
      </w:r>
      <w:r w:rsidR="00C65EC7" w:rsidRPr="00680B44">
        <w:rPr>
          <w:rFonts w:ascii="Book Antiqua" w:hAnsi="Book Antiqua"/>
          <w:b/>
        </w:rPr>
        <w:t xml:space="preserve">; </w:t>
      </w:r>
      <w:r>
        <w:rPr>
          <w:rFonts w:ascii="Book Antiqua" w:hAnsi="Book Antiqua"/>
        </w:rPr>
        <w:t xml:space="preserve">Skup pravila sada pokriva 7 fondova EU-a koji su implementirani u partnerstvu sa državama članicama </w:t>
      </w:r>
      <w:r w:rsidR="00C65EC7" w:rsidRPr="00680B44">
        <w:rPr>
          <w:rFonts w:ascii="Book Antiqua" w:hAnsi="Book Antiqua"/>
        </w:rPr>
        <w:t>('</w:t>
      </w:r>
      <w:r>
        <w:rPr>
          <w:rFonts w:ascii="Book Antiqua" w:hAnsi="Book Antiqua"/>
        </w:rPr>
        <w:t>zajedničko upravljanje</w:t>
      </w:r>
      <w:r w:rsidR="00C65EC7" w:rsidRPr="00680B44">
        <w:rPr>
          <w:rFonts w:ascii="Book Antiqua" w:hAnsi="Book Antiqua"/>
        </w:rPr>
        <w:t xml:space="preserve">'), </w:t>
      </w:r>
      <w:r>
        <w:rPr>
          <w:rFonts w:ascii="Book Antiqua" w:hAnsi="Book Antiqua"/>
        </w:rPr>
        <w:t>koji će olakšati život menadžerima programa fondova EU-a. On će takođe olakšati sinergiju, na primer između fondova Kohezione politike i Fonda za azil i migraciju, kada je reč o razvoju lokalnih strategija integracije za migrante. Okvir takođe omogućava efikasnije pove</w:t>
      </w:r>
      <w:r w:rsidR="007C690F">
        <w:rPr>
          <w:rFonts w:ascii="Book Antiqua" w:hAnsi="Book Antiqua"/>
        </w:rPr>
        <w:t>zivanje sa ostalim fondovima iz kutije budžetskih sredstava EU</w:t>
      </w:r>
      <w:r w:rsidR="00C65EC7" w:rsidRPr="00680B44">
        <w:rPr>
          <w:rFonts w:ascii="Book Antiqua" w:hAnsi="Book Antiqua"/>
        </w:rPr>
        <w:t xml:space="preserve">; </w:t>
      </w:r>
      <w:r w:rsidR="007C690F">
        <w:rPr>
          <w:rFonts w:ascii="Book Antiqua" w:hAnsi="Book Antiqua"/>
        </w:rPr>
        <w:t>na primer, države članice mogu da biraju da prenose neke od svojih resursa Kohezione politike u programu</w:t>
      </w:r>
      <w:r w:rsidR="00C65EC7" w:rsidRPr="00680B44">
        <w:rPr>
          <w:rFonts w:ascii="Book Antiqua" w:hAnsi="Book Antiqua"/>
        </w:rPr>
        <w:t xml:space="preserve"> Invest EU.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b/>
        </w:rPr>
      </w:pPr>
    </w:p>
    <w:p w:rsidR="00C65EC7" w:rsidRPr="00680B44" w:rsidRDefault="00840860" w:rsidP="00C65EC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color w:val="0070C0"/>
        </w:rPr>
        <w:t>Prioritet</w:t>
      </w:r>
      <w:r w:rsidR="00C65EC7" w:rsidRPr="00680B44">
        <w:rPr>
          <w:rFonts w:ascii="Book Antiqua" w:hAnsi="Book Antiqua"/>
          <w:color w:val="0070C0"/>
        </w:rPr>
        <w:t xml:space="preserve"> 4 </w:t>
      </w:r>
      <w:r w:rsidR="002C4B91">
        <w:rPr>
          <w:rFonts w:ascii="Book Antiqua" w:hAnsi="Book Antiqua"/>
        </w:rPr>
        <w:t>Ojačana veza sa Evropskim semestrom radi poboljšanja okruženja za investicije u Evropi</w:t>
      </w:r>
      <w:r w:rsidR="00C65EC7" w:rsidRPr="00680B44">
        <w:rPr>
          <w:rFonts w:ascii="Book Antiqua" w:hAnsi="Book Antiqua"/>
        </w:rPr>
        <w:t>: Komisi</w:t>
      </w:r>
      <w:r w:rsidR="002C4B91">
        <w:rPr>
          <w:rFonts w:ascii="Book Antiqua" w:hAnsi="Book Antiqua"/>
        </w:rPr>
        <w:t>ja predlaže stvaranje rastućeg i prijateljskog okruženja za preduzeća u Evropi, kako bi EU preko nacionalnih investicija mogla da pruži njihov pun potencijal</w:t>
      </w:r>
      <w:r w:rsidR="00C65EC7" w:rsidRPr="00680B44">
        <w:rPr>
          <w:rFonts w:ascii="Book Antiqua" w:hAnsi="Book Antiqua"/>
        </w:rPr>
        <w:t xml:space="preserve">. 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color w:val="0070C0"/>
        </w:rPr>
      </w:pP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680B44">
        <w:rPr>
          <w:rFonts w:ascii="Book Antiqua" w:hAnsi="Book Antiqua"/>
          <w:b/>
          <w:sz w:val="28"/>
          <w:szCs w:val="28"/>
        </w:rPr>
        <w:t>Program</w:t>
      </w:r>
      <w:r w:rsidR="002C4B91">
        <w:rPr>
          <w:rFonts w:ascii="Book Antiqua" w:hAnsi="Book Antiqua"/>
          <w:b/>
          <w:sz w:val="28"/>
          <w:szCs w:val="28"/>
        </w:rPr>
        <w:t xml:space="preserve">i Evropske unije za regionalni razvoj </w:t>
      </w:r>
      <w:r w:rsidRPr="00680B44">
        <w:rPr>
          <w:rFonts w:ascii="Book Antiqua" w:hAnsi="Book Antiqua"/>
          <w:b/>
          <w:sz w:val="28"/>
          <w:szCs w:val="28"/>
        </w:rPr>
        <w:t>2021 2027</w:t>
      </w:r>
      <w:r w:rsidRPr="00680B44">
        <w:rPr>
          <w:rFonts w:ascii="Book Antiqua" w:hAnsi="Book Antiqua"/>
          <w:sz w:val="28"/>
          <w:szCs w:val="28"/>
        </w:rPr>
        <w:t>-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color w:val="000000"/>
        </w:rPr>
      </w:pPr>
    </w:p>
    <w:p w:rsidR="00C65EC7" w:rsidRPr="00680B44" w:rsidRDefault="002C4B91" w:rsidP="00C65EC7">
      <w:pPr>
        <w:spacing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 preduzeća i preduzetnike koji ostvaruju korist od podrške EU-a, novi okvir pruža više fleksibilnosti, sa jednostavnijim načinima za zahtevanja isplata, koristeći pojednostavljene opcije troškova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Radi olakšavanja sinergije</w:t>
      </w:r>
      <w:r w:rsidR="00EF5049">
        <w:rPr>
          <w:rFonts w:ascii="Book Antiqua" w:hAnsi="Book Antiqua"/>
          <w:color w:val="000000"/>
        </w:rPr>
        <w:t>, jedan regulator pokriva 7 fondova EU-a implementiranih u partnerstvu sa državama članicama</w:t>
      </w:r>
      <w:r w:rsidR="00C65EC7" w:rsidRPr="00680B44">
        <w:rPr>
          <w:rFonts w:ascii="Book Antiqua" w:hAnsi="Book Antiqua"/>
          <w:color w:val="000000"/>
        </w:rPr>
        <w:t xml:space="preserve"> ("</w:t>
      </w:r>
      <w:r w:rsidR="00EF5049">
        <w:rPr>
          <w:rFonts w:ascii="Book Antiqua" w:hAnsi="Book Antiqua"/>
          <w:color w:val="000000"/>
        </w:rPr>
        <w:t>zajedničko upravljanje</w:t>
      </w:r>
      <w:r w:rsidR="00C65EC7" w:rsidRPr="00680B44">
        <w:rPr>
          <w:rFonts w:ascii="Book Antiqua" w:hAnsi="Book Antiqua"/>
          <w:color w:val="000000"/>
        </w:rPr>
        <w:t>"). Komisi</w:t>
      </w:r>
      <w:r w:rsidR="00EF5049">
        <w:rPr>
          <w:rFonts w:ascii="Book Antiqua" w:hAnsi="Book Antiqua"/>
          <w:color w:val="000000"/>
        </w:rPr>
        <w:t>ja takođe predlaže lakše kontrole za programe sa dobrim rekordom, sa dodatnim poverenjem na nacionalne sisteme i proširenje principa</w:t>
      </w:r>
      <w:r w:rsidR="00C65EC7" w:rsidRPr="00680B44">
        <w:rPr>
          <w:rFonts w:ascii="Book Antiqua" w:hAnsi="Book Antiqua"/>
          <w:color w:val="000000"/>
        </w:rPr>
        <w:t xml:space="preserve"> "</w:t>
      </w:r>
      <w:r w:rsidR="00EF5049">
        <w:rPr>
          <w:rFonts w:ascii="Book Antiqua" w:hAnsi="Book Antiqua"/>
          <w:color w:val="000000"/>
        </w:rPr>
        <w:t>jedinstvene kontrole</w:t>
      </w:r>
      <w:r w:rsidR="00C65EC7" w:rsidRPr="00680B44">
        <w:rPr>
          <w:rFonts w:ascii="Book Antiqua" w:hAnsi="Book Antiqua"/>
          <w:color w:val="000000"/>
        </w:rPr>
        <w:t xml:space="preserve">", </w:t>
      </w:r>
      <w:r w:rsidR="00C65EC7" w:rsidRPr="00680B44">
        <w:rPr>
          <w:color w:val="000000"/>
        </w:rPr>
        <w:t>​​</w:t>
      </w:r>
      <w:r w:rsidR="00EF5049">
        <w:rPr>
          <w:rFonts w:ascii="Book Antiqua" w:hAnsi="Book Antiqua"/>
          <w:color w:val="000000"/>
        </w:rPr>
        <w:t>kako bi se izbeglo dupliranje kontrola</w:t>
      </w:r>
      <w:r w:rsidR="00C65EC7" w:rsidRPr="00680B44">
        <w:rPr>
          <w:rFonts w:ascii="Book Antiqua" w:hAnsi="Book Antiqua"/>
          <w:color w:val="000000"/>
        </w:rPr>
        <w:t>.</w:t>
      </w:r>
    </w:p>
    <w:p w:rsidR="00C65EC7" w:rsidRPr="00680B44" w:rsidRDefault="00EF5049" w:rsidP="00C65EC7">
      <w:pPr>
        <w:spacing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>Fleksibilniji okvir</w:t>
      </w:r>
      <w:r w:rsidR="00C65EC7" w:rsidRPr="00680B44">
        <w:rPr>
          <w:rFonts w:ascii="Book Antiqua" w:hAnsi="Book Antiqua"/>
          <w:b/>
          <w:color w:val="000000"/>
        </w:rPr>
        <w:t xml:space="preserve">; </w:t>
      </w:r>
      <w:r>
        <w:rPr>
          <w:rFonts w:ascii="Book Antiqua" w:hAnsi="Book Antiqua"/>
          <w:color w:val="000000"/>
        </w:rPr>
        <w:t>Novi okvir kombinuje potrebnu stabilnost u planiranju investicija sa odgovarajućim nivoom budžetske fleksibilnosti radi suočavanja sa nepredviđenim događajima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 xml:space="preserve">Srednjoročna revizija će utvrditi da li su promene u programima neophodne za poslednje dve godine </w:t>
      </w:r>
      <w:r w:rsidR="003B29C9">
        <w:rPr>
          <w:rFonts w:ascii="Book Antiqua" w:hAnsi="Book Antiqua"/>
          <w:color w:val="000000"/>
        </w:rPr>
        <w:t>perioda finansiranja, na osnovu prednosti koje su se pojavile, učinak programa i najnovije posebne preporuke zemlje</w:t>
      </w:r>
      <w:r w:rsidR="00C65EC7" w:rsidRPr="00680B44">
        <w:rPr>
          <w:rFonts w:ascii="Book Antiqua" w:hAnsi="Book Antiqua"/>
          <w:color w:val="000000"/>
        </w:rPr>
        <w:t xml:space="preserve">. </w:t>
      </w:r>
      <w:r w:rsidR="003B29C9">
        <w:rPr>
          <w:rFonts w:ascii="Book Antiqua" w:hAnsi="Book Antiqua"/>
          <w:color w:val="000000"/>
        </w:rPr>
        <w:t>U okviru određenih granica, prenošenje resursa će biti moguće u okviru programa, bez da je potrebno zvanično odobrenje od strane Komisije</w:t>
      </w:r>
      <w:r w:rsidR="00C65EC7" w:rsidRPr="00680B44">
        <w:rPr>
          <w:rFonts w:ascii="Book Antiqua" w:hAnsi="Book Antiqua"/>
          <w:color w:val="000000"/>
        </w:rPr>
        <w:t xml:space="preserve">. </w:t>
      </w:r>
      <w:r w:rsidR="003B29C9">
        <w:rPr>
          <w:rFonts w:ascii="Book Antiqua" w:hAnsi="Book Antiqua"/>
          <w:color w:val="000000"/>
        </w:rPr>
        <w:t>Specifična odredba olakšava mobilizaciju fondova EU-a od prvog dana u slučaju prirodne katastrofe</w:t>
      </w:r>
      <w:r w:rsidR="00C65EC7" w:rsidRPr="00680B44">
        <w:rPr>
          <w:rFonts w:ascii="Book Antiqua" w:hAnsi="Book Antiqua"/>
          <w:color w:val="000000"/>
        </w:rPr>
        <w:t>.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color w:val="000000"/>
        </w:rPr>
      </w:pPr>
      <w:r w:rsidRPr="00680B44">
        <w:rPr>
          <w:rFonts w:ascii="Book Antiqua" w:hAnsi="Book Antiqua"/>
          <w:color w:val="000000"/>
        </w:rPr>
        <w:t xml:space="preserve"> </w:t>
      </w:r>
      <w:r w:rsidR="003B29C9">
        <w:rPr>
          <w:rFonts w:ascii="Book Antiqua" w:hAnsi="Book Antiqua"/>
          <w:b/>
          <w:color w:val="000000"/>
        </w:rPr>
        <w:t>Jače povezivanje sa ekonomskim upravljanjem Evropske unije</w:t>
      </w:r>
      <w:r w:rsidRPr="00680B44">
        <w:rPr>
          <w:rFonts w:ascii="Book Antiqua" w:hAnsi="Book Antiqua"/>
          <w:b/>
          <w:color w:val="000000"/>
        </w:rPr>
        <w:t xml:space="preserve">: </w:t>
      </w:r>
      <w:r w:rsidR="00691DC6">
        <w:rPr>
          <w:rFonts w:ascii="Book Antiqua" w:hAnsi="Book Antiqua"/>
          <w:color w:val="000000"/>
        </w:rPr>
        <w:t>Koheziona politika podržava reforme za prijateljsko okruženje za investicije, gde preduzeća mogu da napreduju</w:t>
      </w:r>
      <w:r w:rsidRPr="00680B44">
        <w:rPr>
          <w:rFonts w:ascii="Book Antiqua" w:hAnsi="Book Antiqua"/>
          <w:color w:val="000000"/>
        </w:rPr>
        <w:t xml:space="preserve">. </w:t>
      </w:r>
      <w:r w:rsidR="00691DC6">
        <w:rPr>
          <w:rFonts w:ascii="Book Antiqua" w:hAnsi="Book Antiqua"/>
          <w:color w:val="000000"/>
        </w:rPr>
        <w:t>Biće osigurana dopuna i puna koordinacija sa novim, proširenim programom za podršku reforme</w:t>
      </w:r>
      <w:r w:rsidRPr="00680B44">
        <w:rPr>
          <w:rFonts w:ascii="Book Antiqua" w:hAnsi="Book Antiqua"/>
          <w:color w:val="000000"/>
        </w:rPr>
        <w:t xml:space="preserve">. </w:t>
      </w:r>
      <w:r w:rsidR="00691DC6">
        <w:rPr>
          <w:rFonts w:ascii="Book Antiqua" w:hAnsi="Book Antiqua"/>
          <w:color w:val="000000"/>
        </w:rPr>
        <w:t>Specifične preporuke zemlje koje su formulisane u kontekstu takozvanog Evropskog semestra, uzimaće se u obzir dva puta tokom budžetskog perioda</w:t>
      </w:r>
      <w:r w:rsidRPr="00680B44">
        <w:rPr>
          <w:rFonts w:ascii="Book Antiqua" w:hAnsi="Book Antiqua"/>
          <w:color w:val="000000"/>
        </w:rPr>
        <w:t>: n</w:t>
      </w:r>
      <w:r w:rsidR="00691DC6">
        <w:rPr>
          <w:rFonts w:ascii="Book Antiqua" w:hAnsi="Book Antiqua"/>
          <w:color w:val="000000"/>
        </w:rPr>
        <w:t>a početku, za izradu programa Kohezione politike i tokom srednjoročne revizije</w:t>
      </w:r>
      <w:r w:rsidRPr="00680B44">
        <w:rPr>
          <w:rFonts w:ascii="Book Antiqua" w:hAnsi="Book Antiqua"/>
          <w:color w:val="000000"/>
        </w:rPr>
        <w:t xml:space="preserve">. </w:t>
      </w:r>
      <w:r w:rsidR="00177606">
        <w:rPr>
          <w:rFonts w:ascii="Book Antiqua" w:hAnsi="Book Antiqua"/>
          <w:color w:val="000000"/>
        </w:rPr>
        <w:t>Za dalje postavljanje odgovarajućih uslova za rast i stvaranje radnih mesta, novi uslovi koji</w:t>
      </w:r>
      <w:r w:rsidRPr="00680B44">
        <w:rPr>
          <w:rFonts w:ascii="Book Antiqua" w:hAnsi="Book Antiqua"/>
          <w:color w:val="000000"/>
        </w:rPr>
        <w:t xml:space="preserve"> "</w:t>
      </w:r>
      <w:r w:rsidR="00177606">
        <w:rPr>
          <w:rFonts w:ascii="Book Antiqua" w:hAnsi="Book Antiqua"/>
          <w:color w:val="000000"/>
        </w:rPr>
        <w:t>omogućavaju</w:t>
      </w:r>
      <w:r w:rsidRPr="00680B44">
        <w:rPr>
          <w:rFonts w:ascii="Book Antiqua" w:hAnsi="Book Antiqua"/>
          <w:color w:val="000000"/>
        </w:rPr>
        <w:t xml:space="preserve">" </w:t>
      </w:r>
      <w:r w:rsidR="00177606">
        <w:rPr>
          <w:rFonts w:ascii="Book Antiqua" w:hAnsi="Book Antiqua"/>
          <w:color w:val="000000"/>
        </w:rPr>
        <w:t xml:space="preserve">pomoćiće </w:t>
      </w:r>
      <w:r w:rsidR="006B1A61">
        <w:rPr>
          <w:rFonts w:ascii="Book Antiqua" w:hAnsi="Book Antiqua"/>
          <w:color w:val="000000"/>
        </w:rPr>
        <w:t>uklanjanje</w:t>
      </w:r>
      <w:r w:rsidR="00177606">
        <w:rPr>
          <w:rFonts w:ascii="Book Antiqua" w:hAnsi="Book Antiqua"/>
          <w:color w:val="000000"/>
        </w:rPr>
        <w:t xml:space="preserve"> prepreka za investicije</w:t>
      </w:r>
      <w:r w:rsidRPr="00680B44">
        <w:rPr>
          <w:rFonts w:ascii="Book Antiqua" w:hAnsi="Book Antiqua"/>
          <w:color w:val="000000"/>
        </w:rPr>
        <w:t xml:space="preserve">. </w:t>
      </w:r>
      <w:r w:rsidR="00177606">
        <w:rPr>
          <w:rFonts w:ascii="Book Antiqua" w:hAnsi="Book Antiqua"/>
          <w:color w:val="000000"/>
        </w:rPr>
        <w:t>Njihova primena biće praćena tokom čitavog finansijskog perioda</w:t>
      </w:r>
      <w:r w:rsidRPr="00680B44">
        <w:rPr>
          <w:rFonts w:ascii="Book Antiqua" w:hAnsi="Book Antiqua"/>
          <w:color w:val="000000"/>
        </w:rPr>
        <w:t>.</w:t>
      </w:r>
    </w:p>
    <w:p w:rsidR="00C65EC7" w:rsidRPr="00680B44" w:rsidRDefault="00C65EC7" w:rsidP="00C65EC7">
      <w:pPr>
        <w:spacing w:line="360" w:lineRule="auto"/>
        <w:jc w:val="both"/>
        <w:rPr>
          <w:rFonts w:ascii="Book Antiqua" w:hAnsi="Book Antiqua"/>
          <w:color w:val="000000"/>
        </w:rPr>
      </w:pPr>
      <w:r w:rsidRPr="00680B44">
        <w:rPr>
          <w:rFonts w:ascii="Book Antiqua" w:hAnsi="Book Antiqua"/>
          <w:b/>
          <w:color w:val="000000"/>
        </w:rPr>
        <w:t xml:space="preserve">Interreg: </w:t>
      </w:r>
      <w:r w:rsidR="00177606">
        <w:rPr>
          <w:rFonts w:ascii="Book Antiqua" w:hAnsi="Book Antiqua"/>
          <w:b/>
          <w:color w:val="000000"/>
        </w:rPr>
        <w:t>Uklanjanje prekograničnih prepreka i podrška projektima za među-regionske inovacije</w:t>
      </w:r>
      <w:r w:rsidRPr="00680B44">
        <w:rPr>
          <w:rFonts w:ascii="Book Antiqua" w:hAnsi="Book Antiqua"/>
          <w:b/>
          <w:color w:val="000000"/>
          <w:vertAlign w:val="superscript"/>
        </w:rPr>
        <w:footnoteReference w:id="6"/>
      </w:r>
      <w:r w:rsidRPr="00680B44">
        <w:rPr>
          <w:rFonts w:ascii="Book Antiqua" w:hAnsi="Book Antiqua"/>
          <w:b/>
          <w:color w:val="000000"/>
        </w:rPr>
        <w:t xml:space="preserve">: </w:t>
      </w:r>
      <w:r w:rsidR="00177606">
        <w:rPr>
          <w:rFonts w:ascii="Book Antiqua" w:hAnsi="Book Antiqua"/>
          <w:color w:val="000000"/>
        </w:rPr>
        <w:t>Međuregionalna i prekogranična saradnja</w:t>
      </w:r>
      <w:r w:rsidR="00FC3D24">
        <w:rPr>
          <w:rFonts w:ascii="Book Antiqua" w:hAnsi="Book Antiqua"/>
          <w:color w:val="000000"/>
        </w:rPr>
        <w:t xml:space="preserve"> biće olakšana novom mogućnošću da jedan region koristi deo sopstvenih alokacija za finansiranje projekata </w:t>
      </w:r>
      <w:r w:rsidR="00FC3D24">
        <w:rPr>
          <w:rFonts w:ascii="Book Antiqua" w:hAnsi="Book Antiqua"/>
          <w:color w:val="000000"/>
        </w:rPr>
        <w:lastRenderedPageBreak/>
        <w:t>bilo gde u Evropi zajedno sa ostalim regionima</w:t>
      </w:r>
      <w:r w:rsidRPr="00680B44">
        <w:rPr>
          <w:rFonts w:ascii="Book Antiqua" w:hAnsi="Book Antiqua"/>
          <w:color w:val="000000"/>
        </w:rPr>
        <w:t xml:space="preserve">. </w:t>
      </w:r>
      <w:r w:rsidR="00FC3D24">
        <w:rPr>
          <w:rFonts w:ascii="Book Antiqua" w:hAnsi="Book Antiqua"/>
          <w:color w:val="000000"/>
        </w:rPr>
        <w:t xml:space="preserve">Nova generacija programa međuregionalne i prekogranične saradnje </w:t>
      </w:r>
      <w:r w:rsidRPr="00680B44">
        <w:rPr>
          <w:rFonts w:ascii="Book Antiqua" w:hAnsi="Book Antiqua"/>
          <w:color w:val="000000"/>
        </w:rPr>
        <w:t xml:space="preserve">("Interreg") </w:t>
      </w:r>
      <w:r w:rsidR="00FC3D24">
        <w:rPr>
          <w:rFonts w:ascii="Book Antiqua" w:hAnsi="Book Antiqua"/>
          <w:color w:val="000000"/>
        </w:rPr>
        <w:t>pomoćiće državama članicama da prevaziđu prekogranične prepreke i da razviju zajedničke usluge</w:t>
      </w:r>
      <w:r w:rsidRPr="00680B44">
        <w:rPr>
          <w:rFonts w:ascii="Book Antiqua" w:hAnsi="Book Antiqua"/>
          <w:color w:val="000000"/>
        </w:rPr>
        <w:t xml:space="preserve">. </w:t>
      </w:r>
      <w:r w:rsidR="00584D6A">
        <w:rPr>
          <w:rFonts w:ascii="Book Antiqua" w:hAnsi="Book Antiqua"/>
          <w:color w:val="000000"/>
        </w:rPr>
        <w:t xml:space="preserve">Na osnovu uspešne pilot aktivnosti iz </w:t>
      </w:r>
      <w:r w:rsidRPr="00680B44">
        <w:rPr>
          <w:rFonts w:ascii="Book Antiqua" w:hAnsi="Book Antiqua"/>
          <w:color w:val="000000"/>
        </w:rPr>
        <w:t>2014-2020, Komisi</w:t>
      </w:r>
      <w:r w:rsidR="00584D6A">
        <w:rPr>
          <w:rFonts w:ascii="Book Antiqua" w:hAnsi="Book Antiqua"/>
          <w:color w:val="000000"/>
        </w:rPr>
        <w:t>ja predlaže stvaranje Međuregionalnih inovativnih investicija</w:t>
      </w:r>
      <w:r w:rsidRPr="00680B44">
        <w:rPr>
          <w:rFonts w:ascii="Book Antiqua" w:hAnsi="Book Antiqua"/>
          <w:color w:val="000000"/>
        </w:rPr>
        <w:t xml:space="preserve">. </w:t>
      </w:r>
      <w:r w:rsidR="00584D6A">
        <w:rPr>
          <w:rFonts w:ascii="Book Antiqua" w:hAnsi="Book Antiqua"/>
          <w:color w:val="000000"/>
        </w:rPr>
        <w:t>Regionima sa pametnom specijalizacijom biće data</w:t>
      </w:r>
      <w:r w:rsidR="007F63ED">
        <w:rPr>
          <w:rFonts w:ascii="Book Antiqua" w:hAnsi="Book Antiqua"/>
          <w:color w:val="000000"/>
        </w:rPr>
        <w:t xml:space="preserve"> veća podrška za izgradnju Pan-e</w:t>
      </w:r>
      <w:r w:rsidR="00584D6A">
        <w:rPr>
          <w:rFonts w:ascii="Book Antiqua" w:hAnsi="Book Antiqua"/>
          <w:color w:val="000000"/>
        </w:rPr>
        <w:t>vropskih grupacija u sektorima sa prednostima, kao što su veliki podaci, okolna ekonomija, unapređena proizvodnja ili bezbednost na internetu</w:t>
      </w:r>
      <w:r w:rsidRPr="00680B44">
        <w:rPr>
          <w:rFonts w:ascii="Book Antiqua" w:hAnsi="Book Antiqua"/>
          <w:color w:val="000000"/>
        </w:rPr>
        <w:t>.</w:t>
      </w:r>
    </w:p>
    <w:p w:rsidR="00C65EC7" w:rsidRPr="00680B44" w:rsidRDefault="00EC1007" w:rsidP="00C65EC7">
      <w:pPr>
        <w:spacing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>Ojačana pravila za bolje izvršenje investicija u EU</w:t>
      </w:r>
      <w:r w:rsidR="00C65EC7" w:rsidRPr="00680B44">
        <w:rPr>
          <w:rFonts w:ascii="Book Antiqua" w:hAnsi="Book Antiqua"/>
          <w:b/>
          <w:color w:val="000000"/>
        </w:rPr>
        <w:t xml:space="preserve">: </w:t>
      </w:r>
      <w:r>
        <w:rPr>
          <w:rFonts w:ascii="Book Antiqua" w:hAnsi="Book Antiqua"/>
          <w:color w:val="000000"/>
        </w:rPr>
        <w:t xml:space="preserve">Svi programi će imati još uvek okvir učinka sa merljivim ciljevima </w:t>
      </w:r>
      <w:r w:rsidR="00C65EC7" w:rsidRPr="00680B44">
        <w:rPr>
          <w:rFonts w:ascii="Book Antiqua" w:hAnsi="Book Antiqua"/>
          <w:color w:val="000000"/>
        </w:rPr>
        <w:t>(</w:t>
      </w:r>
      <w:r>
        <w:rPr>
          <w:rFonts w:ascii="Book Antiqua" w:hAnsi="Book Antiqua"/>
          <w:color w:val="000000"/>
        </w:rPr>
        <w:t>broj stvorenih radnih mesta ili dodatni pristup širokom pojasu</w:t>
      </w:r>
      <w:r w:rsidR="00C65EC7" w:rsidRPr="00680B44">
        <w:rPr>
          <w:rFonts w:ascii="Book Antiqua" w:hAnsi="Book Antiqua"/>
          <w:color w:val="000000"/>
        </w:rPr>
        <w:t xml:space="preserve">). </w:t>
      </w:r>
      <w:r>
        <w:rPr>
          <w:rFonts w:ascii="Book Antiqua" w:hAnsi="Book Antiqua"/>
          <w:color w:val="000000"/>
        </w:rPr>
        <w:t>Novi okvir predstavlja reviziju godišnjeg učinka, u obliku dijaloga politika između organa programa i Komisije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Učinak programa takođe će se oceniti tokom srednjoročne revizije. Iz razloga transparentnosti, i na taj način građani će moći da prate učinjeni napredak, države članice treba da izveštavaju sve podatke o sprovođenju svaka dva meseca, a Platforma otvorenih podataka Kohezije biće ažurirana automatski.</w:t>
      </w:r>
    </w:p>
    <w:p w:rsidR="00C65EC7" w:rsidRPr="00680B44" w:rsidRDefault="00B72067" w:rsidP="00C65EC7">
      <w:pPr>
        <w:spacing w:line="360" w:lineRule="auto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Povećana upotreba finansijskih instrumenata</w:t>
      </w:r>
      <w:r w:rsidR="00C65EC7" w:rsidRPr="00680B44">
        <w:rPr>
          <w:rFonts w:ascii="Book Antiqua" w:hAnsi="Book Antiqua"/>
          <w:b/>
          <w:color w:val="000000"/>
        </w:rPr>
        <w:t xml:space="preserve">: </w:t>
      </w:r>
      <w:r>
        <w:rPr>
          <w:rFonts w:ascii="Book Antiqua" w:hAnsi="Book Antiqua"/>
          <w:color w:val="000000"/>
        </w:rPr>
        <w:t>Grantovi sami ne mogu rešiti bitne praznine investicija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Oni se mogu dopuniti na efikasan način sa finansijskim instrumentima, koji imaju efekat poluge i koji su bliže tržišta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Na dobrovoljnim osnovama, države članice biće u stanju da prenose jedan deo svojih resursa Kohezione politike u novom fondu, kojim upravlja centar</w:t>
      </w:r>
      <w:r w:rsidR="00C65EC7" w:rsidRPr="00680B44">
        <w:rPr>
          <w:rFonts w:ascii="Book Antiqua" w:hAnsi="Book Antiqua"/>
          <w:color w:val="000000"/>
        </w:rPr>
        <w:t xml:space="preserve"> InvestEU, </w:t>
      </w:r>
      <w:r>
        <w:rPr>
          <w:rFonts w:ascii="Book Antiqua" w:hAnsi="Book Antiqua"/>
          <w:color w:val="000000"/>
        </w:rPr>
        <w:t>kako bi stupile u datoj garanciji od strane budžeta EU-a</w:t>
      </w:r>
      <w:r w:rsidR="00C65EC7" w:rsidRPr="00680B44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Kombinacija grantova i finansijskih instrumenata postala je lakša i novi okvir takođe obuhvata posebne provizije za</w:t>
      </w:r>
      <w:r w:rsidR="00F84784">
        <w:rPr>
          <w:rFonts w:ascii="Book Antiqua" w:hAnsi="Book Antiqua"/>
          <w:color w:val="000000"/>
        </w:rPr>
        <w:t xml:space="preserve"> većim povlačenjem privatnog kapitala</w:t>
      </w:r>
      <w:r w:rsidR="00C65EC7" w:rsidRPr="00680B44">
        <w:rPr>
          <w:rFonts w:ascii="Book Antiqua" w:hAnsi="Book Antiqua"/>
          <w:color w:val="000000"/>
        </w:rPr>
        <w:t>.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hAnsi="Book Antiqua"/>
          <w:b/>
          <w:color w:val="000000"/>
        </w:rPr>
      </w:pPr>
      <w:r w:rsidRPr="00C65EC7">
        <w:rPr>
          <w:rFonts w:ascii="Book Antiqua" w:eastAsia="MS ??" w:hAnsi="Book Antiqua"/>
          <w:b/>
          <w:color w:val="222222"/>
          <w:sz w:val="28"/>
          <w:szCs w:val="28"/>
        </w:rPr>
        <w:t>Nomenklatura</w:t>
      </w:r>
      <w:r w:rsidR="00F84784">
        <w:rPr>
          <w:rFonts w:ascii="Book Antiqua" w:eastAsia="MS ??" w:hAnsi="Book Antiqua"/>
          <w:b/>
          <w:color w:val="222222"/>
          <w:sz w:val="28"/>
          <w:szCs w:val="28"/>
        </w:rPr>
        <w:t xml:space="preserve"> statističkih teritorijalnih jedinica</w:t>
      </w:r>
      <w:r w:rsidRPr="00C65EC7">
        <w:rPr>
          <w:rFonts w:ascii="Book Antiqua" w:eastAsia="MS ??" w:hAnsi="Book Antiqua"/>
          <w:b/>
          <w:color w:val="222222"/>
          <w:sz w:val="28"/>
          <w:szCs w:val="28"/>
        </w:rPr>
        <w:t xml:space="preserve"> (NUTS-</w:t>
      </w:r>
      <w:r w:rsidR="00F84784">
        <w:rPr>
          <w:rFonts w:ascii="Book Antiqua" w:eastAsia="MS ??" w:hAnsi="Book Antiqua"/>
          <w:b/>
          <w:color w:val="222222"/>
          <w:sz w:val="28"/>
          <w:szCs w:val="28"/>
        </w:rPr>
        <w:t>regioni</w:t>
      </w:r>
      <w:r w:rsidRPr="00C65EC7">
        <w:rPr>
          <w:rFonts w:ascii="Book Antiqua" w:eastAsia="MS ??" w:hAnsi="Book Antiqua"/>
          <w:b/>
          <w:color w:val="222222"/>
          <w:sz w:val="28"/>
          <w:szCs w:val="28"/>
        </w:rPr>
        <w:t xml:space="preserve">) </w:t>
      </w:r>
      <w:r w:rsidR="00F84784">
        <w:rPr>
          <w:rFonts w:ascii="Book Antiqua" w:eastAsia="MS ??" w:hAnsi="Book Antiqua"/>
          <w:b/>
          <w:color w:val="222222"/>
          <w:sz w:val="28"/>
          <w:szCs w:val="28"/>
        </w:rPr>
        <w:t xml:space="preserve">prema Evropskoj agenciji za statistiku </w:t>
      </w:r>
      <w:r w:rsidRPr="00C65EC7">
        <w:rPr>
          <w:rFonts w:ascii="Book Antiqua" w:eastAsia="MS ??" w:hAnsi="Book Antiqua"/>
          <w:b/>
          <w:color w:val="222222"/>
          <w:sz w:val="28"/>
          <w:szCs w:val="28"/>
        </w:rPr>
        <w:t>-</w:t>
      </w:r>
    </w:p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b/>
          <w:color w:val="222222"/>
        </w:rPr>
      </w:pPr>
    </w:p>
    <w:p w:rsidR="00C65EC7" w:rsidRPr="00C65EC7" w:rsidRDefault="00F84784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Klasifikacija se radi prema nivou</w:t>
      </w:r>
      <w:r w:rsidR="00C65EC7" w:rsidRPr="00C65EC7">
        <w:rPr>
          <w:rFonts w:ascii="Book Antiqua" w:eastAsia="MS ??" w:hAnsi="Book Antiqua"/>
          <w:color w:val="222222"/>
        </w:rPr>
        <w:t xml:space="preserve"> NUTS (Nomenclature of territorial Units for Statistics - Nomenklatura </w:t>
      </w:r>
      <w:r>
        <w:rPr>
          <w:rFonts w:ascii="Book Antiqua" w:eastAsia="MS ??" w:hAnsi="Book Antiqua"/>
          <w:color w:val="222222"/>
        </w:rPr>
        <w:t>statističkih teritorijalnih jedinica</w:t>
      </w:r>
      <w:r w:rsidR="00C65EC7" w:rsidRPr="00C65EC7">
        <w:rPr>
          <w:rFonts w:ascii="Book Antiqua" w:eastAsia="MS ??" w:hAnsi="Book Antiqua"/>
          <w:color w:val="222222"/>
        </w:rPr>
        <w:t xml:space="preserve">) </w:t>
      </w:r>
      <w:r>
        <w:rPr>
          <w:rFonts w:ascii="Book Antiqua" w:eastAsia="MS ??" w:hAnsi="Book Antiqua"/>
          <w:color w:val="222222"/>
        </w:rPr>
        <w:t>koji predstavlja</w:t>
      </w:r>
      <w:r w:rsidR="00595C3A">
        <w:rPr>
          <w:rFonts w:ascii="Book Antiqua" w:eastAsia="MS ??" w:hAnsi="Book Antiqua"/>
          <w:color w:val="222222"/>
        </w:rPr>
        <w:t xml:space="preserve"> sistem hijerarhije za usmeravanje i orijentaciju teritorije u ekonomskim pogledu EU-a za potrebe</w:t>
      </w:r>
      <w:r w:rsidR="00C65EC7" w:rsidRPr="00C65EC7">
        <w:rPr>
          <w:rFonts w:ascii="Book Antiqua" w:eastAsia="MS ??" w:hAnsi="Book Antiqua"/>
          <w:color w:val="222222"/>
        </w:rPr>
        <w:t xml:space="preserve">: </w:t>
      </w:r>
    </w:p>
    <w:p w:rsidR="00C65EC7" w:rsidRPr="00C65EC7" w:rsidRDefault="00595C3A" w:rsidP="00C65EC7">
      <w:pPr>
        <w:numPr>
          <w:ilvl w:val="0"/>
          <w:numId w:val="30"/>
        </w:numPr>
        <w:spacing w:line="360" w:lineRule="auto"/>
        <w:contextualSpacing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lastRenderedPageBreak/>
        <w:t>Prikupljanja, razvoja i harmonizacije statističkih regiona Evrope</w:t>
      </w:r>
      <w:r w:rsidR="00C65EC7" w:rsidRPr="00C65EC7">
        <w:rPr>
          <w:rFonts w:ascii="Book Antiqua" w:eastAsia="MS ??" w:hAnsi="Book Antiqua"/>
          <w:color w:val="222222"/>
        </w:rPr>
        <w:t>;</w:t>
      </w:r>
    </w:p>
    <w:p w:rsidR="00C65EC7" w:rsidRPr="00C65EC7" w:rsidRDefault="00595C3A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Socio-ekonomske analize regiona</w:t>
      </w:r>
      <w:r w:rsidR="00C65EC7" w:rsidRPr="00C65EC7">
        <w:rPr>
          <w:rFonts w:ascii="Book Antiqua" w:eastAsia="MS ??" w:hAnsi="Book Antiqua"/>
          <w:color w:val="222222"/>
        </w:rPr>
        <w:t>:</w:t>
      </w:r>
    </w:p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  <w:r w:rsidRPr="00C65EC7">
        <w:rPr>
          <w:rFonts w:ascii="Book Antiqua" w:eastAsia="MS ??" w:hAnsi="Book Antiqua"/>
          <w:color w:val="222222"/>
        </w:rPr>
        <w:t xml:space="preserve">-NUTS 1: </w:t>
      </w:r>
      <w:r w:rsidR="00595C3A">
        <w:rPr>
          <w:rFonts w:ascii="Book Antiqua" w:eastAsia="MS ??" w:hAnsi="Book Antiqua"/>
          <w:color w:val="222222"/>
        </w:rPr>
        <w:t>veliki socio-ekonomski regioni</w:t>
      </w:r>
      <w:r w:rsidRPr="00680B44">
        <w:rPr>
          <w:rFonts w:ascii="Book Antiqua" w:eastAsia="MS ??" w:hAnsi="Book Antiqua"/>
          <w:color w:val="222222"/>
          <w:vertAlign w:val="superscript"/>
        </w:rPr>
        <w:footnoteReference w:id="7"/>
      </w:r>
    </w:p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  <w:r w:rsidRPr="00C65EC7">
        <w:rPr>
          <w:rFonts w:ascii="Book Antiqua" w:eastAsia="MS ??" w:hAnsi="Book Antiqua"/>
          <w:color w:val="222222"/>
        </w:rPr>
        <w:t xml:space="preserve">-NUTS 2: </w:t>
      </w:r>
      <w:r w:rsidR="00595C3A">
        <w:rPr>
          <w:rFonts w:ascii="Book Antiqua" w:eastAsia="MS ??" w:hAnsi="Book Antiqua"/>
          <w:color w:val="222222"/>
        </w:rPr>
        <w:t xml:space="preserve">osnovni regioni za primenu regionalnih politika </w:t>
      </w:r>
    </w:p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  <w:r w:rsidRPr="00C65EC7">
        <w:rPr>
          <w:rFonts w:ascii="Book Antiqua" w:eastAsia="MS ??" w:hAnsi="Book Antiqua"/>
          <w:color w:val="222222"/>
        </w:rPr>
        <w:t xml:space="preserve">-NUTS 3: </w:t>
      </w:r>
      <w:r w:rsidR="00595C3A">
        <w:rPr>
          <w:rFonts w:ascii="Book Antiqua" w:eastAsia="MS ??" w:hAnsi="Book Antiqua"/>
          <w:color w:val="222222"/>
        </w:rPr>
        <w:t>mali regioni za specifične potrebe</w:t>
      </w:r>
      <w:r w:rsidRPr="00C65EC7">
        <w:rPr>
          <w:rFonts w:ascii="Book Antiqua" w:eastAsia="MS ??" w:hAnsi="Book Antiqua"/>
          <w:color w:val="222222"/>
        </w:rPr>
        <w:t>.</w:t>
      </w:r>
    </w:p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</w:p>
    <w:tbl>
      <w:tblPr>
        <w:tblpPr w:leftFromText="180" w:rightFromText="180" w:vertAnchor="text" w:horzAnchor="page" w:tblpX="1999" w:tblpY="94"/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07"/>
        <w:gridCol w:w="4118"/>
        <w:gridCol w:w="4010"/>
      </w:tblGrid>
      <w:tr w:rsidR="00C65EC7" w:rsidRPr="00C65EC7" w:rsidTr="00682ECB">
        <w:trPr>
          <w:trHeight w:hRule="exact" w:val="346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C65EC7" w:rsidP="00C65EC7">
            <w:pPr>
              <w:spacing w:line="360" w:lineRule="auto"/>
              <w:rPr>
                <w:rFonts w:eastAsia="Times New Roman"/>
                <w:b/>
                <w:bCs/>
                <w:szCs w:val="22"/>
              </w:rPr>
            </w:pPr>
            <w:r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>NUTS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595C3A" w:rsidP="00595C3A">
            <w:pPr>
              <w:spacing w:line="360" w:lineRule="auto"/>
              <w:jc w:val="center"/>
              <w:rPr>
                <w:rFonts w:eastAsia="Times New Roman"/>
                <w:b/>
                <w:bCs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>BROJ STANOVNIKA</w:t>
            </w:r>
            <w:r w:rsidR="00C65EC7"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 (min) 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595C3A" w:rsidP="00C65EC7">
            <w:pPr>
              <w:spacing w:line="360" w:lineRule="auto"/>
              <w:jc w:val="center"/>
              <w:rPr>
                <w:rFonts w:eastAsia="Times New Roman"/>
                <w:b/>
                <w:bCs/>
                <w:szCs w:val="22"/>
              </w:rPr>
            </w:pPr>
            <w:r w:rsidRPr="00595C3A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BROJ STANOVNIKA </w:t>
            </w:r>
            <w:r w:rsidR="00C65EC7"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(max) </w:t>
            </w:r>
          </w:p>
        </w:tc>
      </w:tr>
      <w:tr w:rsidR="00C65EC7" w:rsidRPr="00C65EC7" w:rsidTr="00682ECB">
        <w:trPr>
          <w:trHeight w:hRule="exact" w:val="346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b/>
                <w:bCs/>
                <w:szCs w:val="22"/>
              </w:rPr>
            </w:pPr>
            <w:r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1 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3.000.000 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7.000.000 </w:t>
            </w:r>
          </w:p>
        </w:tc>
      </w:tr>
      <w:tr w:rsidR="00C65EC7" w:rsidRPr="00C65EC7" w:rsidTr="00682ECB">
        <w:trPr>
          <w:trHeight w:hRule="exact" w:val="346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b/>
                <w:bCs/>
                <w:szCs w:val="22"/>
              </w:rPr>
            </w:pPr>
            <w:r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2 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800.000 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3.000.000 </w:t>
            </w:r>
          </w:p>
        </w:tc>
      </w:tr>
      <w:tr w:rsidR="00C65EC7" w:rsidRPr="00C65EC7" w:rsidTr="00682ECB">
        <w:trPr>
          <w:trHeight w:hRule="exact" w:val="516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b/>
                <w:bCs/>
                <w:szCs w:val="22"/>
              </w:rPr>
            </w:pPr>
            <w:r w:rsidRPr="00C65EC7">
              <w:rPr>
                <w:rFonts w:eastAsia="Times New Roman"/>
                <w:b/>
                <w:bCs/>
                <w:color w:val="000000"/>
                <w:kern w:val="24"/>
                <w:szCs w:val="22"/>
              </w:rPr>
              <w:t xml:space="preserve">3 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150.000 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65EC7" w:rsidRPr="00C65EC7" w:rsidRDefault="00C65EC7" w:rsidP="00C65EC7">
            <w:pPr>
              <w:spacing w:line="360" w:lineRule="auto"/>
              <w:jc w:val="center"/>
              <w:rPr>
                <w:rFonts w:eastAsia="Times New Roman"/>
                <w:szCs w:val="22"/>
              </w:rPr>
            </w:pPr>
            <w:r w:rsidRPr="00C65EC7">
              <w:rPr>
                <w:rFonts w:eastAsia="Times New Roman"/>
                <w:color w:val="000000"/>
                <w:kern w:val="24"/>
                <w:szCs w:val="22"/>
              </w:rPr>
              <w:t xml:space="preserve">800.000 </w:t>
            </w:r>
          </w:p>
        </w:tc>
      </w:tr>
    </w:tbl>
    <w:p w:rsidR="00C65EC7" w:rsidRPr="00C65EC7" w:rsidRDefault="00C65EC7" w:rsidP="00C65EC7">
      <w:pPr>
        <w:spacing w:line="360" w:lineRule="auto"/>
        <w:ind w:left="720"/>
        <w:jc w:val="both"/>
        <w:rPr>
          <w:rFonts w:ascii="Book Antiqua" w:eastAsia="MS ??" w:hAnsi="Book Antiqua"/>
          <w:color w:val="222222"/>
        </w:rPr>
      </w:pPr>
      <w:r w:rsidRPr="00C65EC7">
        <w:rPr>
          <w:rFonts w:ascii="Book Antiqua" w:eastAsia="MS ??" w:hAnsi="Book Antiqua"/>
          <w:color w:val="222222"/>
        </w:rPr>
        <w:t xml:space="preserve">  </w:t>
      </w:r>
    </w:p>
    <w:p w:rsidR="00C65EC7" w:rsidRPr="00C65EC7" w:rsidRDefault="00C65EC7" w:rsidP="00C65EC7">
      <w:pPr>
        <w:jc w:val="both"/>
        <w:rPr>
          <w:rFonts w:ascii="Book Antiqua" w:hAnsi="Book Antiqua"/>
          <w:b/>
          <w:sz w:val="28"/>
          <w:szCs w:val="28"/>
        </w:rPr>
      </w:pPr>
    </w:p>
    <w:p w:rsidR="00C65EC7" w:rsidRPr="00C65EC7" w:rsidRDefault="00354193" w:rsidP="00C65EC7">
      <w:pPr>
        <w:jc w:val="both"/>
        <w:rPr>
          <w:rFonts w:ascii="Book Antiqua" w:hAnsi="Book Antiqua"/>
          <w:b/>
          <w:color w:val="0070C0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Mogućnosti Kosova za uključivanje </w:t>
      </w:r>
      <w:r w:rsidR="00C65EC7" w:rsidRPr="00C65EC7">
        <w:rPr>
          <w:rFonts w:ascii="Book Antiqua" w:hAnsi="Book Antiqua"/>
          <w:b/>
          <w:sz w:val="28"/>
          <w:szCs w:val="28"/>
        </w:rPr>
        <w:t>-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</w:p>
    <w:p w:rsidR="00C65EC7" w:rsidRPr="00C65EC7" w:rsidRDefault="00354193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Početak regionalnog razvoja na Kosovu je od ranije poznat, ali u smislu većeg strukturnog korišćenja fondova EU-a, poznat je od 2008. godine</w:t>
      </w:r>
      <w:r w:rsidR="00C65EC7" w:rsidRPr="00C65EC7">
        <w:rPr>
          <w:rFonts w:ascii="Book Antiqua" w:eastAsia="MS ??" w:hAnsi="Book Antiqua"/>
          <w:color w:val="222222"/>
        </w:rPr>
        <w:t xml:space="preserve">. </w:t>
      </w:r>
      <w:r>
        <w:rPr>
          <w:rFonts w:ascii="Book Antiqua" w:eastAsia="MS ??" w:hAnsi="Book Antiqua"/>
          <w:color w:val="222222"/>
        </w:rPr>
        <w:t>Na inicijativu Ministarstva administracije lokalne sam</w:t>
      </w:r>
      <w:bookmarkStart w:id="0" w:name="_GoBack"/>
      <w:bookmarkEnd w:id="0"/>
      <w:r>
        <w:rPr>
          <w:rFonts w:ascii="Book Antiqua" w:eastAsia="MS ??" w:hAnsi="Book Antiqua"/>
          <w:color w:val="222222"/>
        </w:rPr>
        <w:t>ouprave i podršku Kancelarije Evropske unije na Kosovu</w:t>
      </w:r>
      <w:r w:rsidR="00C65EC7" w:rsidRPr="00C65EC7">
        <w:rPr>
          <w:rFonts w:ascii="Book Antiqua" w:eastAsia="MS ??" w:hAnsi="Book Antiqua"/>
          <w:color w:val="222222"/>
        </w:rPr>
        <w:t xml:space="preserve"> (</w:t>
      </w:r>
      <w:r>
        <w:rPr>
          <w:rFonts w:ascii="Book Antiqua" w:eastAsia="MS ??" w:hAnsi="Book Antiqua"/>
          <w:color w:val="222222"/>
        </w:rPr>
        <w:t>KEU</w:t>
      </w:r>
      <w:r w:rsidR="00C65EC7" w:rsidRPr="00C65EC7">
        <w:rPr>
          <w:rFonts w:ascii="Book Antiqua" w:eastAsia="MS ??" w:hAnsi="Book Antiqua"/>
          <w:color w:val="222222"/>
        </w:rPr>
        <w:t xml:space="preserve">) </w:t>
      </w:r>
      <w:r>
        <w:rPr>
          <w:rFonts w:ascii="Book Antiqua" w:eastAsia="MS ??" w:hAnsi="Book Antiqua"/>
          <w:color w:val="222222"/>
        </w:rPr>
        <w:t xml:space="preserve">potpisano je pet međuopštinskih sporazuma o partnerstvu za formiranje pet Agencija za regionalni razvoj </w:t>
      </w:r>
      <w:r w:rsidR="00C65EC7" w:rsidRPr="00C65EC7">
        <w:rPr>
          <w:rFonts w:ascii="Book Antiqua" w:eastAsia="MS ??" w:hAnsi="Book Antiqua"/>
          <w:color w:val="222222"/>
        </w:rPr>
        <w:t>(</w:t>
      </w:r>
      <w:r>
        <w:rPr>
          <w:rFonts w:ascii="Book Antiqua" w:eastAsia="MS ??" w:hAnsi="Book Antiqua"/>
          <w:color w:val="222222"/>
        </w:rPr>
        <w:t>ARR</w:t>
      </w:r>
      <w:r w:rsidR="00C65EC7" w:rsidRPr="00C65EC7">
        <w:rPr>
          <w:rFonts w:ascii="Book Antiqua" w:eastAsia="MS ??" w:hAnsi="Book Antiqua"/>
          <w:color w:val="222222"/>
        </w:rPr>
        <w:t xml:space="preserve">). </w:t>
      </w:r>
      <w:r>
        <w:rPr>
          <w:rFonts w:ascii="Book Antiqua" w:eastAsia="MS ??" w:hAnsi="Book Antiqua"/>
          <w:color w:val="222222"/>
        </w:rPr>
        <w:t>Ovi sporazumi su potpisani 16. decembra 2008. godine</w:t>
      </w:r>
      <w:r w:rsidR="00C65EC7" w:rsidRPr="00C65EC7">
        <w:rPr>
          <w:rFonts w:ascii="Book Antiqua" w:eastAsia="MS ??" w:hAnsi="Book Antiqua"/>
          <w:color w:val="222222"/>
        </w:rPr>
        <w:t xml:space="preserve">. 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</w:p>
    <w:p w:rsidR="00C65EC7" w:rsidRPr="00C65EC7" w:rsidRDefault="00AA042B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 xml:space="preserve">U nastavku toga, Vlada Kosova je 2009. godine počela proces planiranja Programa za prekograničnu saradnju </w:t>
      </w:r>
      <w:r>
        <w:rPr>
          <w:rFonts w:ascii="Book Antiqua" w:eastAsia="MS ??" w:hAnsi="Book Antiqua"/>
          <w:color w:val="222222"/>
        </w:rPr>
        <w:t>sa susednim zemljama</w:t>
      </w:r>
      <w:r w:rsidRPr="00C65EC7">
        <w:rPr>
          <w:rFonts w:ascii="Book Antiqua" w:eastAsia="MS ??" w:hAnsi="Book Antiqua"/>
          <w:color w:val="222222"/>
        </w:rPr>
        <w:t xml:space="preserve"> </w:t>
      </w:r>
      <w:r>
        <w:rPr>
          <w:rFonts w:ascii="Book Antiqua" w:eastAsia="MS ??" w:hAnsi="Book Antiqua"/>
          <w:color w:val="222222"/>
        </w:rPr>
        <w:t>koje finansira EU (Kosovo</w:t>
      </w:r>
      <w:r w:rsidR="00C65EC7" w:rsidRPr="00C65EC7">
        <w:rPr>
          <w:rFonts w:ascii="Book Antiqua" w:eastAsia="MS ??" w:hAnsi="Book Antiqua"/>
          <w:color w:val="222222"/>
        </w:rPr>
        <w:t>–</w:t>
      </w:r>
      <w:r>
        <w:rPr>
          <w:rFonts w:ascii="Book Antiqua" w:eastAsia="MS ??" w:hAnsi="Book Antiqua"/>
          <w:color w:val="222222"/>
        </w:rPr>
        <w:t>Albanija</w:t>
      </w:r>
      <w:r w:rsidR="00C65EC7" w:rsidRPr="00C65EC7">
        <w:rPr>
          <w:rFonts w:ascii="Book Antiqua" w:eastAsia="MS ??" w:hAnsi="Book Antiqua"/>
          <w:color w:val="222222"/>
        </w:rPr>
        <w:t>; Kosov</w:t>
      </w:r>
      <w:r>
        <w:rPr>
          <w:rFonts w:ascii="Book Antiqua" w:eastAsia="MS ??" w:hAnsi="Book Antiqua"/>
          <w:color w:val="222222"/>
        </w:rPr>
        <w:t>o–Makedonija</w:t>
      </w:r>
      <w:r w:rsidR="00C65EC7" w:rsidRPr="00C65EC7">
        <w:rPr>
          <w:rFonts w:ascii="Book Antiqua" w:eastAsia="MS ??" w:hAnsi="Book Antiqua"/>
          <w:color w:val="222222"/>
        </w:rPr>
        <w:t xml:space="preserve">) </w:t>
      </w:r>
      <w:r>
        <w:rPr>
          <w:rFonts w:ascii="Book Antiqua" w:eastAsia="MS ??" w:hAnsi="Book Antiqua"/>
          <w:color w:val="222222"/>
        </w:rPr>
        <w:t>i godinu kasnije Kosovo-Crna Gora</w:t>
      </w:r>
      <w:r w:rsidR="00C65EC7" w:rsidRPr="00C65EC7">
        <w:rPr>
          <w:rFonts w:ascii="Book Antiqua" w:eastAsia="MS ??" w:hAnsi="Book Antiqua"/>
          <w:color w:val="222222"/>
        </w:rPr>
        <w:t xml:space="preserve">. </w:t>
      </w:r>
      <w:r>
        <w:rPr>
          <w:rFonts w:ascii="Book Antiqua" w:eastAsia="MS ??" w:hAnsi="Book Antiqua"/>
          <w:color w:val="222222"/>
        </w:rPr>
        <w:t>U svim ovim programima, predloženi regioni za uključivanje kao prihvatljiva područja u programu, pratili su evropsku klasifikaciju regiona</w:t>
      </w:r>
      <w:r w:rsidR="00C65EC7" w:rsidRPr="00C65EC7">
        <w:rPr>
          <w:rFonts w:ascii="Book Antiqua" w:eastAsia="MS ??" w:hAnsi="Book Antiqua"/>
          <w:color w:val="222222"/>
        </w:rPr>
        <w:t xml:space="preserve"> NUTS III (</w:t>
      </w:r>
      <w:r>
        <w:rPr>
          <w:rFonts w:ascii="Book Antiqua" w:eastAsia="MS ??" w:hAnsi="Book Antiqua"/>
          <w:color w:val="222222"/>
        </w:rPr>
        <w:t>iako Kosovo nije primenila istu klasifikaciju</w:t>
      </w:r>
      <w:r w:rsidR="00C65EC7" w:rsidRPr="00C65EC7">
        <w:rPr>
          <w:rFonts w:ascii="Book Antiqua" w:eastAsia="MS ??" w:hAnsi="Book Antiqua"/>
          <w:color w:val="222222"/>
        </w:rPr>
        <w:t xml:space="preserve">). </w:t>
      </w:r>
      <w:r>
        <w:rPr>
          <w:rFonts w:ascii="Book Antiqua" w:eastAsia="MS ??" w:hAnsi="Book Antiqua"/>
          <w:color w:val="222222"/>
        </w:rPr>
        <w:t>Kao osnova za to su uzeti Ekonomski regioni koji ARR-i predstavljaju</w:t>
      </w:r>
      <w:r w:rsidR="00C65EC7" w:rsidRPr="00C65EC7">
        <w:rPr>
          <w:rFonts w:ascii="Book Antiqua" w:eastAsia="MS ??" w:hAnsi="Book Antiqua"/>
          <w:color w:val="222222"/>
        </w:rPr>
        <w:t xml:space="preserve">: 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</w:p>
    <w:p w:rsidR="00C65EC7" w:rsidRPr="00C65EC7" w:rsidRDefault="00AA042B" w:rsidP="00C65EC7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Book Antiqua" w:eastAsia="SimSun" w:hAnsi="Book Antiqua"/>
          <w:color w:val="222222"/>
        </w:rPr>
      </w:pPr>
      <w:r>
        <w:rPr>
          <w:rFonts w:ascii="Book Antiqua" w:eastAsia="SimSun" w:hAnsi="Book Antiqua"/>
          <w:color w:val="222222"/>
        </w:rPr>
        <w:t>Sporazum o međuopštinskoj saradnji Centar</w:t>
      </w:r>
      <w:r w:rsidR="00C65EC7" w:rsidRPr="00680B44">
        <w:rPr>
          <w:rFonts w:ascii="Book Antiqua" w:eastAsia="SimSun" w:hAnsi="Book Antiqua"/>
          <w:color w:val="222222"/>
          <w:vertAlign w:val="superscript"/>
        </w:rPr>
        <w:footnoteReference w:id="8"/>
      </w:r>
      <w:r w:rsidR="00C65EC7" w:rsidRPr="00C65EC7">
        <w:rPr>
          <w:rFonts w:ascii="Book Antiqua" w:eastAsia="SimSun" w:hAnsi="Book Antiqua"/>
          <w:color w:val="222222"/>
        </w:rPr>
        <w:t xml:space="preserve"> - </w:t>
      </w:r>
      <w:r>
        <w:rPr>
          <w:rFonts w:ascii="Book Antiqua" w:eastAsia="SimSun" w:hAnsi="Book Antiqua"/>
          <w:color w:val="222222"/>
        </w:rPr>
        <w:t>Ekonomski region Centar</w:t>
      </w:r>
    </w:p>
    <w:p w:rsidR="00C65EC7" w:rsidRPr="00C65EC7" w:rsidRDefault="00AA042B" w:rsidP="00C65EC7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Book Antiqua" w:eastAsia="SimSun" w:hAnsi="Book Antiqua"/>
          <w:color w:val="222222"/>
        </w:rPr>
      </w:pPr>
      <w:r>
        <w:rPr>
          <w:rFonts w:ascii="Book Antiqua" w:eastAsia="SimSun" w:hAnsi="Book Antiqua"/>
          <w:color w:val="222222"/>
        </w:rPr>
        <w:t xml:space="preserve">Sporazum o međuopštinskoj saradnji </w:t>
      </w:r>
      <w:r>
        <w:rPr>
          <w:rFonts w:ascii="Book Antiqua" w:eastAsia="SimSun" w:hAnsi="Book Antiqua"/>
          <w:color w:val="222222"/>
        </w:rPr>
        <w:t>Istok</w:t>
      </w:r>
      <w:r w:rsidR="00C65EC7" w:rsidRPr="00C65EC7">
        <w:rPr>
          <w:rFonts w:ascii="Book Antiqua" w:eastAsia="SimSun" w:hAnsi="Book Antiqua"/>
          <w:color w:val="222222"/>
        </w:rPr>
        <w:t xml:space="preserve"> – </w:t>
      </w:r>
      <w:r w:rsidRPr="00AA042B">
        <w:rPr>
          <w:rFonts w:ascii="Book Antiqua" w:eastAsia="SimSun" w:hAnsi="Book Antiqua"/>
          <w:color w:val="222222"/>
        </w:rPr>
        <w:t xml:space="preserve">Ekonomski region </w:t>
      </w:r>
      <w:r>
        <w:rPr>
          <w:rFonts w:ascii="Book Antiqua" w:eastAsia="SimSun" w:hAnsi="Book Antiqua"/>
          <w:color w:val="222222"/>
        </w:rPr>
        <w:t>Istok</w:t>
      </w:r>
    </w:p>
    <w:p w:rsidR="00C65EC7" w:rsidRPr="00C65EC7" w:rsidRDefault="00AA042B" w:rsidP="00C65EC7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Book Antiqua" w:eastAsia="SimSun" w:hAnsi="Book Antiqua"/>
          <w:color w:val="222222"/>
        </w:rPr>
      </w:pPr>
      <w:r>
        <w:rPr>
          <w:rFonts w:ascii="Book Antiqua" w:eastAsia="SimSun" w:hAnsi="Book Antiqua"/>
          <w:color w:val="222222"/>
        </w:rPr>
        <w:t xml:space="preserve">Sporazum o međuopštinskoj saradnji </w:t>
      </w:r>
      <w:r>
        <w:rPr>
          <w:rFonts w:ascii="Book Antiqua" w:eastAsia="SimSun" w:hAnsi="Book Antiqua"/>
          <w:color w:val="222222"/>
        </w:rPr>
        <w:t>Zapad</w:t>
      </w:r>
      <w:r w:rsidR="00C65EC7" w:rsidRPr="00C65EC7">
        <w:rPr>
          <w:rFonts w:ascii="Book Antiqua" w:eastAsia="SimSun" w:hAnsi="Book Antiqua"/>
          <w:color w:val="222222"/>
        </w:rPr>
        <w:t xml:space="preserve"> – </w:t>
      </w:r>
      <w:r w:rsidRPr="00AA042B">
        <w:rPr>
          <w:rFonts w:ascii="Book Antiqua" w:eastAsia="SimSun" w:hAnsi="Book Antiqua"/>
          <w:color w:val="222222"/>
        </w:rPr>
        <w:t xml:space="preserve">Ekonomski region </w:t>
      </w:r>
      <w:r>
        <w:rPr>
          <w:rFonts w:ascii="Book Antiqua" w:eastAsia="SimSun" w:hAnsi="Book Antiqua"/>
          <w:color w:val="222222"/>
        </w:rPr>
        <w:t>Zapad</w:t>
      </w:r>
    </w:p>
    <w:p w:rsidR="00C65EC7" w:rsidRPr="00C65EC7" w:rsidRDefault="00AA042B" w:rsidP="00C65EC7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Book Antiqua" w:eastAsia="SimSun" w:hAnsi="Book Antiqua"/>
          <w:color w:val="222222"/>
        </w:rPr>
      </w:pPr>
      <w:r>
        <w:rPr>
          <w:rFonts w:ascii="Book Antiqua" w:eastAsia="SimSun" w:hAnsi="Book Antiqua"/>
          <w:color w:val="222222"/>
        </w:rPr>
        <w:t xml:space="preserve">Sporazum o međuopštinskoj saradnji </w:t>
      </w:r>
      <w:r w:rsidR="00C65EC7" w:rsidRPr="00C65EC7">
        <w:rPr>
          <w:rFonts w:ascii="Book Antiqua" w:eastAsia="SimSun" w:hAnsi="Book Antiqua"/>
          <w:color w:val="222222"/>
        </w:rPr>
        <w:t xml:space="preserve">Jug – </w:t>
      </w:r>
      <w:r w:rsidRPr="00AA042B">
        <w:rPr>
          <w:rFonts w:ascii="Book Antiqua" w:eastAsia="SimSun" w:hAnsi="Book Antiqua"/>
          <w:color w:val="222222"/>
        </w:rPr>
        <w:t xml:space="preserve">Ekonomski region </w:t>
      </w:r>
      <w:r w:rsidR="00C65EC7" w:rsidRPr="00C65EC7">
        <w:rPr>
          <w:rFonts w:ascii="Book Antiqua" w:eastAsia="SimSun" w:hAnsi="Book Antiqua"/>
          <w:color w:val="222222"/>
        </w:rPr>
        <w:t xml:space="preserve">Jug </w:t>
      </w:r>
    </w:p>
    <w:p w:rsidR="00C65EC7" w:rsidRPr="00C65EC7" w:rsidRDefault="00AA042B" w:rsidP="00C65EC7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Book Antiqua" w:eastAsia="SimSun" w:hAnsi="Book Antiqua"/>
          <w:color w:val="222222"/>
        </w:rPr>
      </w:pPr>
      <w:r>
        <w:rPr>
          <w:rFonts w:ascii="Book Antiqua" w:eastAsia="SimSun" w:hAnsi="Book Antiqua"/>
          <w:color w:val="222222"/>
        </w:rPr>
        <w:t xml:space="preserve">Sporazum o međuopštinskoj saradnji </w:t>
      </w:r>
      <w:r>
        <w:rPr>
          <w:rFonts w:ascii="Book Antiqua" w:eastAsia="SimSun" w:hAnsi="Book Antiqua"/>
          <w:color w:val="222222"/>
        </w:rPr>
        <w:t>Sever</w:t>
      </w:r>
      <w:r w:rsidR="00C65EC7" w:rsidRPr="00C65EC7">
        <w:rPr>
          <w:rFonts w:ascii="Book Antiqua" w:eastAsia="SimSun" w:hAnsi="Book Antiqua"/>
          <w:color w:val="222222"/>
        </w:rPr>
        <w:t xml:space="preserve"> – </w:t>
      </w:r>
      <w:r w:rsidRPr="00AA042B">
        <w:rPr>
          <w:rFonts w:ascii="Book Antiqua" w:eastAsia="SimSun" w:hAnsi="Book Antiqua"/>
          <w:color w:val="222222"/>
        </w:rPr>
        <w:t xml:space="preserve">Ekonomski region </w:t>
      </w:r>
      <w:r>
        <w:rPr>
          <w:rFonts w:ascii="Book Antiqua" w:eastAsia="SimSun" w:hAnsi="Book Antiqua"/>
          <w:color w:val="222222"/>
        </w:rPr>
        <w:t>Sever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b/>
          <w:color w:val="222222"/>
        </w:rPr>
      </w:pP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  <w:r w:rsidRPr="00C65EC7">
        <w:rPr>
          <w:rFonts w:ascii="Book Antiqua" w:eastAsia="MS ??" w:hAnsi="Book Antiqua"/>
          <w:color w:val="222222"/>
        </w:rPr>
        <w:t>Kosov</w:t>
      </w:r>
      <w:r w:rsidR="00A546F4">
        <w:rPr>
          <w:rFonts w:ascii="Book Antiqua" w:eastAsia="MS ??" w:hAnsi="Book Antiqua"/>
          <w:color w:val="222222"/>
        </w:rPr>
        <w:t>u trenutno nedostaje zakonska infrastruktura i pri kraju je izrade strategije za regionalni razvoj, koja se očekuje da će biti poslata što pre na usvajanja u Vladi</w:t>
      </w:r>
      <w:r w:rsidRPr="00C65EC7">
        <w:rPr>
          <w:rFonts w:ascii="Book Antiqua" w:eastAsia="MS ??" w:hAnsi="Book Antiqua"/>
          <w:color w:val="222222"/>
        </w:rPr>
        <w:t xml:space="preserve">. </w:t>
      </w:r>
      <w:r w:rsidR="00A546F4">
        <w:rPr>
          <w:rFonts w:ascii="Book Antiqua" w:eastAsia="MS ??" w:hAnsi="Book Antiqua"/>
          <w:color w:val="222222"/>
        </w:rPr>
        <w:t>Nedostatak utvrđivanja jasnih politika za regionalni razvoj donosi mnogobrojne probleme, kao što su</w:t>
      </w:r>
      <w:r w:rsidRPr="00C65EC7">
        <w:rPr>
          <w:rFonts w:ascii="Book Antiqua" w:eastAsia="MS ??" w:hAnsi="Book Antiqua"/>
          <w:color w:val="222222"/>
        </w:rPr>
        <w:t xml:space="preserve">: </w:t>
      </w:r>
    </w:p>
    <w:p w:rsidR="00C65EC7" w:rsidRPr="00C65EC7" w:rsidRDefault="00C65EC7" w:rsidP="00C65EC7">
      <w:pPr>
        <w:spacing w:line="360" w:lineRule="auto"/>
        <w:jc w:val="both"/>
        <w:rPr>
          <w:rFonts w:ascii="Book Antiqua" w:eastAsia="MS ??" w:hAnsi="Book Antiqua"/>
          <w:color w:val="222222"/>
        </w:rPr>
      </w:pPr>
    </w:p>
    <w:p w:rsidR="00C65EC7" w:rsidRPr="00C65EC7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Regionalna nejednakost sa aspekta socio-ekonomskih pokazatelja</w:t>
      </w:r>
      <w:r w:rsidR="00C65EC7" w:rsidRPr="00C65EC7">
        <w:rPr>
          <w:rFonts w:ascii="Book Antiqua" w:eastAsia="MS ??" w:hAnsi="Book Antiqua"/>
          <w:color w:val="222222"/>
        </w:rPr>
        <w:t xml:space="preserve">; </w:t>
      </w:r>
    </w:p>
    <w:p w:rsidR="00C65EC7" w:rsidRPr="00C65EC7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Nedostatak razvojnih politika za podsticanje veće konkurentnosti u regionu</w:t>
      </w:r>
      <w:r w:rsidR="00C65EC7" w:rsidRPr="00C65EC7">
        <w:rPr>
          <w:rFonts w:ascii="Book Antiqua" w:eastAsia="MS ??" w:hAnsi="Book Antiqua"/>
          <w:color w:val="222222"/>
        </w:rPr>
        <w:t xml:space="preserve">; </w:t>
      </w:r>
    </w:p>
    <w:p w:rsidR="00C65EC7" w:rsidRPr="00C65EC7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Nedostatak povezivanja između sektorskih razvojnih politika vlade i aktivnosti na nivou regiona</w:t>
      </w:r>
      <w:r w:rsidR="00C65EC7" w:rsidRPr="00C65EC7">
        <w:rPr>
          <w:rFonts w:ascii="Book Antiqua" w:eastAsia="MS ??" w:hAnsi="Book Antiqua"/>
          <w:color w:val="222222"/>
        </w:rPr>
        <w:t xml:space="preserve">; </w:t>
      </w:r>
    </w:p>
    <w:p w:rsidR="00C65EC7" w:rsidRPr="00C65EC7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>Nedostatak stimulacije međuregionalne, prekogranične i međunarodne saradnje</w:t>
      </w:r>
      <w:r w:rsidR="00C65EC7" w:rsidRPr="00C65EC7">
        <w:rPr>
          <w:rFonts w:ascii="Book Antiqua" w:eastAsia="MS ??" w:hAnsi="Book Antiqua"/>
          <w:color w:val="222222"/>
        </w:rPr>
        <w:t xml:space="preserve">; </w:t>
      </w:r>
    </w:p>
    <w:p w:rsidR="00C65EC7" w:rsidRPr="00680B44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 xml:space="preserve">Neuspeh u klasifikaciji Kosova prema statističkim regionima </w:t>
      </w:r>
      <w:r w:rsidR="00C65EC7" w:rsidRPr="00C65EC7">
        <w:rPr>
          <w:rFonts w:ascii="Book Antiqua" w:eastAsia="MS ??" w:hAnsi="Book Antiqua"/>
          <w:color w:val="222222"/>
        </w:rPr>
        <w:t xml:space="preserve">NUTS; </w:t>
      </w:r>
    </w:p>
    <w:p w:rsidR="00C65EC7" w:rsidRPr="00680B44" w:rsidRDefault="00A546F4" w:rsidP="00C65EC7">
      <w:pPr>
        <w:numPr>
          <w:ilvl w:val="0"/>
          <w:numId w:val="19"/>
        </w:numPr>
        <w:spacing w:line="360" w:lineRule="auto"/>
        <w:jc w:val="both"/>
        <w:rPr>
          <w:rFonts w:ascii="Book Antiqua" w:eastAsia="MS ??" w:hAnsi="Book Antiqua"/>
          <w:color w:val="222222"/>
        </w:rPr>
      </w:pPr>
      <w:r>
        <w:rPr>
          <w:rFonts w:ascii="Book Antiqua" w:eastAsia="MS ??" w:hAnsi="Book Antiqua"/>
          <w:color w:val="222222"/>
        </w:rPr>
        <w:t xml:space="preserve">Nedostatak mehanizama potrebnih za pristup razvojnim fondovima EU-a </w:t>
      </w:r>
      <w:r w:rsidR="00B51367">
        <w:rPr>
          <w:rFonts w:ascii="Book Antiqua" w:eastAsia="MS ??" w:hAnsi="Book Antiqua"/>
          <w:color w:val="222222"/>
        </w:rPr>
        <w:t>i za upravljanje regionalnim razvojem uopšteno</w:t>
      </w:r>
      <w:r w:rsidR="00C65EC7" w:rsidRPr="00680B44">
        <w:rPr>
          <w:rFonts w:ascii="Book Antiqua" w:eastAsia="MS ??" w:hAnsi="Book Antiqua"/>
          <w:color w:val="222222"/>
        </w:rPr>
        <w:t>.</w:t>
      </w:r>
    </w:p>
    <w:sectPr w:rsidR="00C65EC7" w:rsidRPr="00680B44" w:rsidSect="00C97FC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95" w:rsidRDefault="00367E95" w:rsidP="00B6010B">
      <w:r>
        <w:separator/>
      </w:r>
    </w:p>
  </w:endnote>
  <w:endnote w:type="continuationSeparator" w:id="0">
    <w:p w:rsidR="00367E95" w:rsidRDefault="00367E95" w:rsidP="00B6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95" w:rsidRDefault="00367E95" w:rsidP="00B6010B">
      <w:r>
        <w:separator/>
      </w:r>
    </w:p>
  </w:footnote>
  <w:footnote w:type="continuationSeparator" w:id="0">
    <w:p w:rsidR="00367E95" w:rsidRDefault="00367E95" w:rsidP="00B6010B">
      <w:r>
        <w:continuationSeparator/>
      </w:r>
    </w:p>
  </w:footnote>
  <w:footnote w:id="1">
    <w:p w:rsidR="003344E6" w:rsidRDefault="00334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44E6">
        <w:t>http://www.oecd.org/regional/regionaldevelopment.htm</w:t>
      </w:r>
    </w:p>
  </w:footnote>
  <w:footnote w:id="2">
    <w:p w:rsidR="00FE667E" w:rsidRDefault="00FE66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6A56" w:rsidRPr="008B6A56">
        <w:t xml:space="preserve">https://ec.europa.eu/regional_policy/index.cfm/en/  </w:t>
      </w:r>
    </w:p>
  </w:footnote>
  <w:footnote w:id="3">
    <w:p w:rsidR="007C15F2" w:rsidRPr="007C15F2" w:rsidRDefault="007C15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C15F2">
        <w:t xml:space="preserve"> </w:t>
      </w:r>
      <w:r w:rsidR="009B2C87" w:rsidRPr="009B2C87">
        <w:t>https://ec.europa.eu/regional_policy/index.cfm/en/</w:t>
      </w:r>
    </w:p>
  </w:footnote>
  <w:footnote w:id="4">
    <w:p w:rsidR="00C65EC7" w:rsidRPr="00816CE1" w:rsidRDefault="00C65EC7" w:rsidP="00C65EC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B6A56">
        <w:t>http://kub-pz.weebly.com/uploads/1/0/5/9/10591655/sllajdet_politika_e_zhvillimit_rajonal_ib1.pdf</w:t>
      </w:r>
    </w:p>
  </w:footnote>
  <w:footnote w:id="5">
    <w:p w:rsidR="00C65EC7" w:rsidRDefault="00C65EC7" w:rsidP="00C65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6A56">
        <w:t>https://ec.europa.eu/commission/presscorner/detail/en/MEMO_18_3866</w:t>
      </w:r>
    </w:p>
  </w:footnote>
  <w:footnote w:id="6">
    <w:p w:rsidR="00C65EC7" w:rsidRDefault="00C65EC7" w:rsidP="00C65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6A56">
        <w:t>https://eur-lex.europa.eu/legal-content/en/ALL/?uri=CELEX%3A32003R1059</w:t>
      </w:r>
    </w:p>
  </w:footnote>
  <w:footnote w:id="7">
    <w:p w:rsidR="00C65EC7" w:rsidRPr="008B6A56" w:rsidRDefault="00C65EC7" w:rsidP="00C65EC7">
      <w:pPr>
        <w:rPr>
          <w:sz w:val="20"/>
          <w:szCs w:val="20"/>
        </w:rPr>
      </w:pPr>
      <w:r>
        <w:rPr>
          <w:rStyle w:val="FootnoteReference"/>
        </w:rPr>
        <w:footnoteRef/>
      </w:r>
      <w:r w:rsidRPr="00FE667E">
        <w:t xml:space="preserve"> </w:t>
      </w:r>
      <w:r w:rsidRPr="008B6A56">
        <w:rPr>
          <w:sz w:val="20"/>
          <w:szCs w:val="20"/>
        </w:rPr>
        <w:t xml:space="preserve">http://eur-lex.europa.eu/legal-content/EN/    </w:t>
      </w:r>
    </w:p>
    <w:p w:rsidR="00C65EC7" w:rsidRDefault="00C65EC7" w:rsidP="00C65EC7">
      <w:pPr>
        <w:pStyle w:val="FootnoteText"/>
      </w:pPr>
    </w:p>
  </w:footnote>
  <w:footnote w:id="8">
    <w:p w:rsidR="00C65EC7" w:rsidRDefault="00C65EC7" w:rsidP="00C65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1121">
        <w:t>Koncept</w:t>
      </w:r>
      <w:r w:rsidR="00B51367">
        <w:t xml:space="preserve"> dokumenat za regionalni razvoj str. </w:t>
      </w:r>
      <w:r w:rsidRPr="000C1121">
        <w:t>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C88"/>
    <w:multiLevelType w:val="hybridMultilevel"/>
    <w:tmpl w:val="E028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5B9"/>
    <w:multiLevelType w:val="hybridMultilevel"/>
    <w:tmpl w:val="4016EFFC"/>
    <w:lvl w:ilvl="0" w:tplc="45D2F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CAB"/>
    <w:multiLevelType w:val="hybridMultilevel"/>
    <w:tmpl w:val="6A70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5E0A53"/>
    <w:multiLevelType w:val="hybridMultilevel"/>
    <w:tmpl w:val="4DECCD76"/>
    <w:lvl w:ilvl="0" w:tplc="7BE8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B57FB"/>
    <w:multiLevelType w:val="hybridMultilevel"/>
    <w:tmpl w:val="7CCE909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CEC4578"/>
    <w:multiLevelType w:val="hybridMultilevel"/>
    <w:tmpl w:val="32FC6E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6192E"/>
    <w:multiLevelType w:val="hybridMultilevel"/>
    <w:tmpl w:val="6566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731C"/>
    <w:multiLevelType w:val="hybridMultilevel"/>
    <w:tmpl w:val="9714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7F4D"/>
    <w:multiLevelType w:val="hybridMultilevel"/>
    <w:tmpl w:val="29040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C62EFA"/>
    <w:multiLevelType w:val="hybridMultilevel"/>
    <w:tmpl w:val="45A2E84E"/>
    <w:lvl w:ilvl="0" w:tplc="1F845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82C76"/>
    <w:multiLevelType w:val="hybridMultilevel"/>
    <w:tmpl w:val="B42438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D16E0"/>
    <w:multiLevelType w:val="hybridMultilevel"/>
    <w:tmpl w:val="682CC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B2036C"/>
    <w:multiLevelType w:val="hybridMultilevel"/>
    <w:tmpl w:val="CCCA1860"/>
    <w:lvl w:ilvl="0" w:tplc="EEA4AA9C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55EDB"/>
    <w:multiLevelType w:val="hybridMultilevel"/>
    <w:tmpl w:val="7092F1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10231A"/>
    <w:multiLevelType w:val="hybridMultilevel"/>
    <w:tmpl w:val="98ACA3A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52F333F"/>
    <w:multiLevelType w:val="hybridMultilevel"/>
    <w:tmpl w:val="33825B56"/>
    <w:lvl w:ilvl="0" w:tplc="B2DAF8B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9B52DDC"/>
    <w:multiLevelType w:val="hybridMultilevel"/>
    <w:tmpl w:val="E4B6C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00A1A4D"/>
    <w:multiLevelType w:val="hybridMultilevel"/>
    <w:tmpl w:val="EE06E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DA4CF1"/>
    <w:multiLevelType w:val="hybridMultilevel"/>
    <w:tmpl w:val="E574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103F3"/>
    <w:multiLevelType w:val="hybridMultilevel"/>
    <w:tmpl w:val="7AA2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64DD9"/>
    <w:multiLevelType w:val="hybridMultilevel"/>
    <w:tmpl w:val="520AA270"/>
    <w:lvl w:ilvl="0" w:tplc="326E13B0">
      <w:start w:val="1"/>
      <w:numFmt w:val="upperRoman"/>
      <w:lvlText w:val="%1."/>
      <w:lvlJc w:val="left"/>
      <w:pPr>
        <w:ind w:left="81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F3A83"/>
    <w:multiLevelType w:val="hybridMultilevel"/>
    <w:tmpl w:val="EC74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A5EC1"/>
    <w:multiLevelType w:val="hybridMultilevel"/>
    <w:tmpl w:val="C2FCBB32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98B11A9"/>
    <w:multiLevelType w:val="hybridMultilevel"/>
    <w:tmpl w:val="4D92599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7A281ACD"/>
    <w:multiLevelType w:val="hybridMultilevel"/>
    <w:tmpl w:val="0382EC5A"/>
    <w:lvl w:ilvl="0" w:tplc="AAC4CAC8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11D52"/>
    <w:multiLevelType w:val="hybridMultilevel"/>
    <w:tmpl w:val="1E60B2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134686"/>
    <w:multiLevelType w:val="multilevel"/>
    <w:tmpl w:val="67767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C68758F"/>
    <w:multiLevelType w:val="hybridMultilevel"/>
    <w:tmpl w:val="A632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19"/>
  </w:num>
  <w:num w:numId="8">
    <w:abstractNumId w:val="18"/>
  </w:num>
  <w:num w:numId="9">
    <w:abstractNumId w:val="26"/>
  </w:num>
  <w:num w:numId="10">
    <w:abstractNumId w:val="27"/>
  </w:num>
  <w:num w:numId="11">
    <w:abstractNumId w:val="15"/>
  </w:num>
  <w:num w:numId="12">
    <w:abstractNumId w:val="0"/>
  </w:num>
  <w:num w:numId="13">
    <w:abstractNumId w:val="3"/>
  </w:num>
  <w:num w:numId="14">
    <w:abstractNumId w:val="8"/>
  </w:num>
  <w:num w:numId="15">
    <w:abstractNumId w:val="17"/>
  </w:num>
  <w:num w:numId="16">
    <w:abstractNumId w:val="23"/>
  </w:num>
  <w:num w:numId="17">
    <w:abstractNumId w:val="1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6"/>
  </w:num>
  <w:num w:numId="22">
    <w:abstractNumId w:val="25"/>
  </w:num>
  <w:num w:numId="23">
    <w:abstractNumId w:val="20"/>
  </w:num>
  <w:num w:numId="24">
    <w:abstractNumId w:val="24"/>
  </w:num>
  <w:num w:numId="25">
    <w:abstractNumId w:val="12"/>
  </w:num>
  <w:num w:numId="26">
    <w:abstractNumId w:val="1"/>
  </w:num>
  <w:num w:numId="27">
    <w:abstractNumId w:val="14"/>
  </w:num>
  <w:num w:numId="28">
    <w:abstractNumId w:val="5"/>
  </w:num>
  <w:num w:numId="29">
    <w:abstractNumId w:val="22"/>
  </w:num>
  <w:num w:numId="3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D3"/>
    <w:rsid w:val="00000B22"/>
    <w:rsid w:val="000018D3"/>
    <w:rsid w:val="0000583B"/>
    <w:rsid w:val="000101F2"/>
    <w:rsid w:val="0001686F"/>
    <w:rsid w:val="00027BEB"/>
    <w:rsid w:val="00030076"/>
    <w:rsid w:val="00047713"/>
    <w:rsid w:val="00054D57"/>
    <w:rsid w:val="00061F68"/>
    <w:rsid w:val="00063115"/>
    <w:rsid w:val="000678AA"/>
    <w:rsid w:val="0006792C"/>
    <w:rsid w:val="00074084"/>
    <w:rsid w:val="0007566B"/>
    <w:rsid w:val="000767EE"/>
    <w:rsid w:val="00076A5C"/>
    <w:rsid w:val="00082692"/>
    <w:rsid w:val="00083350"/>
    <w:rsid w:val="00090275"/>
    <w:rsid w:val="00094BA5"/>
    <w:rsid w:val="0009541A"/>
    <w:rsid w:val="000A1149"/>
    <w:rsid w:val="000B045E"/>
    <w:rsid w:val="000B055A"/>
    <w:rsid w:val="000B18EB"/>
    <w:rsid w:val="000B27A8"/>
    <w:rsid w:val="000B6434"/>
    <w:rsid w:val="000C1121"/>
    <w:rsid w:val="000C357C"/>
    <w:rsid w:val="000D542D"/>
    <w:rsid w:val="000D6CC3"/>
    <w:rsid w:val="000E0923"/>
    <w:rsid w:val="000E274B"/>
    <w:rsid w:val="000E6653"/>
    <w:rsid w:val="000F0502"/>
    <w:rsid w:val="000F087C"/>
    <w:rsid w:val="000F19AB"/>
    <w:rsid w:val="000F373D"/>
    <w:rsid w:val="000F539A"/>
    <w:rsid w:val="0010255A"/>
    <w:rsid w:val="00103269"/>
    <w:rsid w:val="00110263"/>
    <w:rsid w:val="00111E1B"/>
    <w:rsid w:val="00116D42"/>
    <w:rsid w:val="0012500D"/>
    <w:rsid w:val="00133908"/>
    <w:rsid w:val="001339F5"/>
    <w:rsid w:val="0014230E"/>
    <w:rsid w:val="00142724"/>
    <w:rsid w:val="00152953"/>
    <w:rsid w:val="00165D6F"/>
    <w:rsid w:val="00166591"/>
    <w:rsid w:val="001726F7"/>
    <w:rsid w:val="00172D8B"/>
    <w:rsid w:val="00177606"/>
    <w:rsid w:val="0018179F"/>
    <w:rsid w:val="00190001"/>
    <w:rsid w:val="00190EAB"/>
    <w:rsid w:val="001929AF"/>
    <w:rsid w:val="00196966"/>
    <w:rsid w:val="001A47D6"/>
    <w:rsid w:val="001A5CA1"/>
    <w:rsid w:val="001A6616"/>
    <w:rsid w:val="001B20F2"/>
    <w:rsid w:val="001C4E84"/>
    <w:rsid w:val="001C7C51"/>
    <w:rsid w:val="001D16F7"/>
    <w:rsid w:val="001D2F9C"/>
    <w:rsid w:val="001D4559"/>
    <w:rsid w:val="001D4886"/>
    <w:rsid w:val="001E0190"/>
    <w:rsid w:val="001E3DAC"/>
    <w:rsid w:val="001E3F20"/>
    <w:rsid w:val="001E6372"/>
    <w:rsid w:val="001F3F82"/>
    <w:rsid w:val="001F635C"/>
    <w:rsid w:val="00203633"/>
    <w:rsid w:val="00211A70"/>
    <w:rsid w:val="00213347"/>
    <w:rsid w:val="00221F56"/>
    <w:rsid w:val="002252B5"/>
    <w:rsid w:val="00225B99"/>
    <w:rsid w:val="00226F56"/>
    <w:rsid w:val="00253E92"/>
    <w:rsid w:val="00254260"/>
    <w:rsid w:val="0026389D"/>
    <w:rsid w:val="00263E49"/>
    <w:rsid w:val="00271F23"/>
    <w:rsid w:val="002724B4"/>
    <w:rsid w:val="00280E45"/>
    <w:rsid w:val="0028159C"/>
    <w:rsid w:val="002828DC"/>
    <w:rsid w:val="002832E9"/>
    <w:rsid w:val="0028524C"/>
    <w:rsid w:val="00287ABB"/>
    <w:rsid w:val="00291BE3"/>
    <w:rsid w:val="00296195"/>
    <w:rsid w:val="002965A5"/>
    <w:rsid w:val="002A2580"/>
    <w:rsid w:val="002B2EBD"/>
    <w:rsid w:val="002B5A94"/>
    <w:rsid w:val="002C1B30"/>
    <w:rsid w:val="002C4B91"/>
    <w:rsid w:val="002C606E"/>
    <w:rsid w:val="002C6620"/>
    <w:rsid w:val="002C7BB7"/>
    <w:rsid w:val="002D1138"/>
    <w:rsid w:val="002E0EF3"/>
    <w:rsid w:val="002E1A9A"/>
    <w:rsid w:val="002E4998"/>
    <w:rsid w:val="002E5703"/>
    <w:rsid w:val="002F03D8"/>
    <w:rsid w:val="002F2CE4"/>
    <w:rsid w:val="002F4D56"/>
    <w:rsid w:val="00307FB1"/>
    <w:rsid w:val="00311250"/>
    <w:rsid w:val="00311B91"/>
    <w:rsid w:val="0031492A"/>
    <w:rsid w:val="0032217D"/>
    <w:rsid w:val="003322A1"/>
    <w:rsid w:val="003344E6"/>
    <w:rsid w:val="0034689D"/>
    <w:rsid w:val="0035379F"/>
    <w:rsid w:val="00354193"/>
    <w:rsid w:val="0035460C"/>
    <w:rsid w:val="0036016C"/>
    <w:rsid w:val="00360C68"/>
    <w:rsid w:val="00361CCA"/>
    <w:rsid w:val="00367B8B"/>
    <w:rsid w:val="00367E95"/>
    <w:rsid w:val="00374152"/>
    <w:rsid w:val="0037429A"/>
    <w:rsid w:val="00374377"/>
    <w:rsid w:val="00374F80"/>
    <w:rsid w:val="0037755A"/>
    <w:rsid w:val="003834C9"/>
    <w:rsid w:val="00385FF6"/>
    <w:rsid w:val="00393215"/>
    <w:rsid w:val="003958CD"/>
    <w:rsid w:val="003A12B7"/>
    <w:rsid w:val="003A132A"/>
    <w:rsid w:val="003A2810"/>
    <w:rsid w:val="003A45D3"/>
    <w:rsid w:val="003B176A"/>
    <w:rsid w:val="003B29C9"/>
    <w:rsid w:val="003B29E7"/>
    <w:rsid w:val="003B637B"/>
    <w:rsid w:val="003D7883"/>
    <w:rsid w:val="003F277F"/>
    <w:rsid w:val="003F5B81"/>
    <w:rsid w:val="003F796A"/>
    <w:rsid w:val="0040208B"/>
    <w:rsid w:val="0040397A"/>
    <w:rsid w:val="0040656F"/>
    <w:rsid w:val="004103A5"/>
    <w:rsid w:val="00410804"/>
    <w:rsid w:val="00410FC4"/>
    <w:rsid w:val="004146EF"/>
    <w:rsid w:val="00420FC2"/>
    <w:rsid w:val="00421E85"/>
    <w:rsid w:val="00424F56"/>
    <w:rsid w:val="00424F7A"/>
    <w:rsid w:val="00427BAA"/>
    <w:rsid w:val="00431A83"/>
    <w:rsid w:val="00437BE1"/>
    <w:rsid w:val="00443846"/>
    <w:rsid w:val="0044538B"/>
    <w:rsid w:val="004454E0"/>
    <w:rsid w:val="00451E56"/>
    <w:rsid w:val="0045788B"/>
    <w:rsid w:val="00461B51"/>
    <w:rsid w:val="00463E5C"/>
    <w:rsid w:val="00474B3B"/>
    <w:rsid w:val="00485D46"/>
    <w:rsid w:val="0048601E"/>
    <w:rsid w:val="004901A5"/>
    <w:rsid w:val="004909DD"/>
    <w:rsid w:val="004933C2"/>
    <w:rsid w:val="00497A99"/>
    <w:rsid w:val="004A1004"/>
    <w:rsid w:val="004A20B4"/>
    <w:rsid w:val="004A53D4"/>
    <w:rsid w:val="004A74C7"/>
    <w:rsid w:val="004B10FC"/>
    <w:rsid w:val="004B50E8"/>
    <w:rsid w:val="004C1489"/>
    <w:rsid w:val="004C1627"/>
    <w:rsid w:val="004C1DAD"/>
    <w:rsid w:val="004D0F69"/>
    <w:rsid w:val="004D1DF6"/>
    <w:rsid w:val="004D7411"/>
    <w:rsid w:val="004E3C43"/>
    <w:rsid w:val="004E6CFC"/>
    <w:rsid w:val="004F0FDF"/>
    <w:rsid w:val="00512B89"/>
    <w:rsid w:val="005162F6"/>
    <w:rsid w:val="00524579"/>
    <w:rsid w:val="005322FE"/>
    <w:rsid w:val="00554D14"/>
    <w:rsid w:val="00563E5F"/>
    <w:rsid w:val="00573C11"/>
    <w:rsid w:val="005742FD"/>
    <w:rsid w:val="00582DBD"/>
    <w:rsid w:val="00584D6A"/>
    <w:rsid w:val="00591845"/>
    <w:rsid w:val="00595312"/>
    <w:rsid w:val="00595C3A"/>
    <w:rsid w:val="00597A26"/>
    <w:rsid w:val="005A18B1"/>
    <w:rsid w:val="005A4962"/>
    <w:rsid w:val="005A5E30"/>
    <w:rsid w:val="005B5713"/>
    <w:rsid w:val="005B5D68"/>
    <w:rsid w:val="005C2F47"/>
    <w:rsid w:val="005C49F9"/>
    <w:rsid w:val="005C4ED2"/>
    <w:rsid w:val="005D0515"/>
    <w:rsid w:val="005D4DAB"/>
    <w:rsid w:val="005D50DD"/>
    <w:rsid w:val="005D595D"/>
    <w:rsid w:val="005D7E67"/>
    <w:rsid w:val="005E1133"/>
    <w:rsid w:val="005E13E4"/>
    <w:rsid w:val="005E1C95"/>
    <w:rsid w:val="005E44DD"/>
    <w:rsid w:val="005F4046"/>
    <w:rsid w:val="00602790"/>
    <w:rsid w:val="00602882"/>
    <w:rsid w:val="00605566"/>
    <w:rsid w:val="00607C8E"/>
    <w:rsid w:val="0061300D"/>
    <w:rsid w:val="00627C30"/>
    <w:rsid w:val="0063292E"/>
    <w:rsid w:val="00633DF4"/>
    <w:rsid w:val="0063661D"/>
    <w:rsid w:val="0064767D"/>
    <w:rsid w:val="00650515"/>
    <w:rsid w:val="00662BA9"/>
    <w:rsid w:val="00665581"/>
    <w:rsid w:val="00666067"/>
    <w:rsid w:val="00666ED3"/>
    <w:rsid w:val="00680B44"/>
    <w:rsid w:val="00687E6C"/>
    <w:rsid w:val="00690A02"/>
    <w:rsid w:val="00691DC6"/>
    <w:rsid w:val="00693FB2"/>
    <w:rsid w:val="00695F97"/>
    <w:rsid w:val="006A5C25"/>
    <w:rsid w:val="006A7790"/>
    <w:rsid w:val="006B1A61"/>
    <w:rsid w:val="006B303E"/>
    <w:rsid w:val="006B5EB3"/>
    <w:rsid w:val="006B7221"/>
    <w:rsid w:val="006D16A3"/>
    <w:rsid w:val="006D1BA0"/>
    <w:rsid w:val="006D2F4B"/>
    <w:rsid w:val="006D63C1"/>
    <w:rsid w:val="006E0A3B"/>
    <w:rsid w:val="006E49DF"/>
    <w:rsid w:val="006E636B"/>
    <w:rsid w:val="006E6B72"/>
    <w:rsid w:val="006E6C77"/>
    <w:rsid w:val="00714063"/>
    <w:rsid w:val="00725C5C"/>
    <w:rsid w:val="0074208F"/>
    <w:rsid w:val="0074486C"/>
    <w:rsid w:val="00746B93"/>
    <w:rsid w:val="00747040"/>
    <w:rsid w:val="007515B3"/>
    <w:rsid w:val="007720C6"/>
    <w:rsid w:val="00781E82"/>
    <w:rsid w:val="00782DF4"/>
    <w:rsid w:val="0078565F"/>
    <w:rsid w:val="00794A10"/>
    <w:rsid w:val="007A033C"/>
    <w:rsid w:val="007A2A20"/>
    <w:rsid w:val="007A3E1A"/>
    <w:rsid w:val="007B18D5"/>
    <w:rsid w:val="007B5A30"/>
    <w:rsid w:val="007B6C72"/>
    <w:rsid w:val="007C0630"/>
    <w:rsid w:val="007C07DA"/>
    <w:rsid w:val="007C0B22"/>
    <w:rsid w:val="007C15F2"/>
    <w:rsid w:val="007C690F"/>
    <w:rsid w:val="007C6EE3"/>
    <w:rsid w:val="007D56BC"/>
    <w:rsid w:val="007D604C"/>
    <w:rsid w:val="007E0EC7"/>
    <w:rsid w:val="007E60E3"/>
    <w:rsid w:val="007F30D3"/>
    <w:rsid w:val="007F601D"/>
    <w:rsid w:val="007F63ED"/>
    <w:rsid w:val="00802027"/>
    <w:rsid w:val="00802380"/>
    <w:rsid w:val="00803643"/>
    <w:rsid w:val="00807197"/>
    <w:rsid w:val="00807CDF"/>
    <w:rsid w:val="00810618"/>
    <w:rsid w:val="0081295A"/>
    <w:rsid w:val="0081364C"/>
    <w:rsid w:val="00816B21"/>
    <w:rsid w:val="00816CE1"/>
    <w:rsid w:val="00822968"/>
    <w:rsid w:val="00827764"/>
    <w:rsid w:val="00831DF8"/>
    <w:rsid w:val="008321B0"/>
    <w:rsid w:val="00840860"/>
    <w:rsid w:val="008426E6"/>
    <w:rsid w:val="00862BD5"/>
    <w:rsid w:val="00863A99"/>
    <w:rsid w:val="008658B7"/>
    <w:rsid w:val="00867E93"/>
    <w:rsid w:val="0087448B"/>
    <w:rsid w:val="00880720"/>
    <w:rsid w:val="00882BF1"/>
    <w:rsid w:val="008A19D3"/>
    <w:rsid w:val="008A32CF"/>
    <w:rsid w:val="008B6A56"/>
    <w:rsid w:val="008B7224"/>
    <w:rsid w:val="008C0E13"/>
    <w:rsid w:val="008C6B06"/>
    <w:rsid w:val="008D0740"/>
    <w:rsid w:val="008D1F70"/>
    <w:rsid w:val="008D3DA4"/>
    <w:rsid w:val="008D6E0C"/>
    <w:rsid w:val="008E640E"/>
    <w:rsid w:val="008F7E00"/>
    <w:rsid w:val="00903BE9"/>
    <w:rsid w:val="009072E1"/>
    <w:rsid w:val="00907E26"/>
    <w:rsid w:val="00910C14"/>
    <w:rsid w:val="00911702"/>
    <w:rsid w:val="009134C1"/>
    <w:rsid w:val="0092008E"/>
    <w:rsid w:val="00922FFE"/>
    <w:rsid w:val="00924E33"/>
    <w:rsid w:val="00943EF5"/>
    <w:rsid w:val="009562A2"/>
    <w:rsid w:val="00956766"/>
    <w:rsid w:val="0095726A"/>
    <w:rsid w:val="009757D3"/>
    <w:rsid w:val="00975FD3"/>
    <w:rsid w:val="00980964"/>
    <w:rsid w:val="0098629A"/>
    <w:rsid w:val="009A0FAA"/>
    <w:rsid w:val="009A7EDF"/>
    <w:rsid w:val="009B05CA"/>
    <w:rsid w:val="009B2C87"/>
    <w:rsid w:val="009C01BD"/>
    <w:rsid w:val="009C1F72"/>
    <w:rsid w:val="009C44CC"/>
    <w:rsid w:val="009C64FA"/>
    <w:rsid w:val="009C659B"/>
    <w:rsid w:val="009E318E"/>
    <w:rsid w:val="009E6E85"/>
    <w:rsid w:val="009E7582"/>
    <w:rsid w:val="00A0176D"/>
    <w:rsid w:val="00A01B3C"/>
    <w:rsid w:val="00A02AAC"/>
    <w:rsid w:val="00A02AC3"/>
    <w:rsid w:val="00A03C79"/>
    <w:rsid w:val="00A04746"/>
    <w:rsid w:val="00A11AF2"/>
    <w:rsid w:val="00A13128"/>
    <w:rsid w:val="00A135EC"/>
    <w:rsid w:val="00A20FAA"/>
    <w:rsid w:val="00A267E6"/>
    <w:rsid w:val="00A273B8"/>
    <w:rsid w:val="00A3075B"/>
    <w:rsid w:val="00A32A53"/>
    <w:rsid w:val="00A35D18"/>
    <w:rsid w:val="00A35D65"/>
    <w:rsid w:val="00A40159"/>
    <w:rsid w:val="00A45FD5"/>
    <w:rsid w:val="00A546F4"/>
    <w:rsid w:val="00A559E0"/>
    <w:rsid w:val="00A60C9D"/>
    <w:rsid w:val="00A61D10"/>
    <w:rsid w:val="00A634ED"/>
    <w:rsid w:val="00A667B8"/>
    <w:rsid w:val="00A820D9"/>
    <w:rsid w:val="00A83298"/>
    <w:rsid w:val="00A85B01"/>
    <w:rsid w:val="00A85F03"/>
    <w:rsid w:val="00A91675"/>
    <w:rsid w:val="00A91C8E"/>
    <w:rsid w:val="00A960FA"/>
    <w:rsid w:val="00AA042B"/>
    <w:rsid w:val="00AB05AF"/>
    <w:rsid w:val="00AC1D70"/>
    <w:rsid w:val="00AD2247"/>
    <w:rsid w:val="00AD2E36"/>
    <w:rsid w:val="00AE4E94"/>
    <w:rsid w:val="00AE58C1"/>
    <w:rsid w:val="00AF3389"/>
    <w:rsid w:val="00AF3B2A"/>
    <w:rsid w:val="00AF7833"/>
    <w:rsid w:val="00B03BD7"/>
    <w:rsid w:val="00B06772"/>
    <w:rsid w:val="00B11063"/>
    <w:rsid w:val="00B1335D"/>
    <w:rsid w:val="00B22EEF"/>
    <w:rsid w:val="00B23ABA"/>
    <w:rsid w:val="00B257AF"/>
    <w:rsid w:val="00B274C9"/>
    <w:rsid w:val="00B27AF8"/>
    <w:rsid w:val="00B27D50"/>
    <w:rsid w:val="00B32FD0"/>
    <w:rsid w:val="00B4789C"/>
    <w:rsid w:val="00B50ED3"/>
    <w:rsid w:val="00B51367"/>
    <w:rsid w:val="00B52F2D"/>
    <w:rsid w:val="00B56E29"/>
    <w:rsid w:val="00B575AD"/>
    <w:rsid w:val="00B6010B"/>
    <w:rsid w:val="00B63A91"/>
    <w:rsid w:val="00B72067"/>
    <w:rsid w:val="00B739D4"/>
    <w:rsid w:val="00B74B11"/>
    <w:rsid w:val="00B74FF3"/>
    <w:rsid w:val="00B76295"/>
    <w:rsid w:val="00B8075D"/>
    <w:rsid w:val="00B81410"/>
    <w:rsid w:val="00B8651B"/>
    <w:rsid w:val="00BA3DF6"/>
    <w:rsid w:val="00BD2950"/>
    <w:rsid w:val="00BE084D"/>
    <w:rsid w:val="00BE3479"/>
    <w:rsid w:val="00BE3DCA"/>
    <w:rsid w:val="00BE6EEC"/>
    <w:rsid w:val="00BF096E"/>
    <w:rsid w:val="00BF0B73"/>
    <w:rsid w:val="00BF0FD5"/>
    <w:rsid w:val="00BF40CA"/>
    <w:rsid w:val="00BF4A63"/>
    <w:rsid w:val="00C07F3B"/>
    <w:rsid w:val="00C17E1D"/>
    <w:rsid w:val="00C17ED8"/>
    <w:rsid w:val="00C21324"/>
    <w:rsid w:val="00C26A78"/>
    <w:rsid w:val="00C331F6"/>
    <w:rsid w:val="00C407A1"/>
    <w:rsid w:val="00C40ECF"/>
    <w:rsid w:val="00C44344"/>
    <w:rsid w:val="00C44F51"/>
    <w:rsid w:val="00C53D95"/>
    <w:rsid w:val="00C5616F"/>
    <w:rsid w:val="00C570E6"/>
    <w:rsid w:val="00C65EC7"/>
    <w:rsid w:val="00C67106"/>
    <w:rsid w:val="00C70341"/>
    <w:rsid w:val="00C73117"/>
    <w:rsid w:val="00C846D7"/>
    <w:rsid w:val="00C84719"/>
    <w:rsid w:val="00C94D29"/>
    <w:rsid w:val="00C95934"/>
    <w:rsid w:val="00C97FC5"/>
    <w:rsid w:val="00CA1228"/>
    <w:rsid w:val="00CA2EE3"/>
    <w:rsid w:val="00CA3D96"/>
    <w:rsid w:val="00CA6F2F"/>
    <w:rsid w:val="00CB47B9"/>
    <w:rsid w:val="00CB7A8B"/>
    <w:rsid w:val="00CC227C"/>
    <w:rsid w:val="00CC2B12"/>
    <w:rsid w:val="00CD1219"/>
    <w:rsid w:val="00CD3DD5"/>
    <w:rsid w:val="00CD615D"/>
    <w:rsid w:val="00CE3D06"/>
    <w:rsid w:val="00CF0414"/>
    <w:rsid w:val="00CF2EDE"/>
    <w:rsid w:val="00CF4D8C"/>
    <w:rsid w:val="00CF5111"/>
    <w:rsid w:val="00CF6D2A"/>
    <w:rsid w:val="00D12C7B"/>
    <w:rsid w:val="00D1516F"/>
    <w:rsid w:val="00D2580D"/>
    <w:rsid w:val="00D333A6"/>
    <w:rsid w:val="00D356D5"/>
    <w:rsid w:val="00D37C96"/>
    <w:rsid w:val="00D65CAC"/>
    <w:rsid w:val="00D66707"/>
    <w:rsid w:val="00D671D8"/>
    <w:rsid w:val="00D71BCD"/>
    <w:rsid w:val="00D75037"/>
    <w:rsid w:val="00D921AD"/>
    <w:rsid w:val="00D95E7E"/>
    <w:rsid w:val="00D969A8"/>
    <w:rsid w:val="00DA3EF5"/>
    <w:rsid w:val="00DA7017"/>
    <w:rsid w:val="00DB12BD"/>
    <w:rsid w:val="00DB7015"/>
    <w:rsid w:val="00DC1948"/>
    <w:rsid w:val="00DD02BF"/>
    <w:rsid w:val="00DD1ED6"/>
    <w:rsid w:val="00DE2DE2"/>
    <w:rsid w:val="00DE3ADA"/>
    <w:rsid w:val="00DE3F95"/>
    <w:rsid w:val="00DF5A7E"/>
    <w:rsid w:val="00E000AC"/>
    <w:rsid w:val="00E03676"/>
    <w:rsid w:val="00E0417F"/>
    <w:rsid w:val="00E106FA"/>
    <w:rsid w:val="00E13F7D"/>
    <w:rsid w:val="00E153D9"/>
    <w:rsid w:val="00E17835"/>
    <w:rsid w:val="00E356DB"/>
    <w:rsid w:val="00E3574D"/>
    <w:rsid w:val="00E36508"/>
    <w:rsid w:val="00E52C4F"/>
    <w:rsid w:val="00E54538"/>
    <w:rsid w:val="00E64873"/>
    <w:rsid w:val="00E716E7"/>
    <w:rsid w:val="00E74115"/>
    <w:rsid w:val="00E83FC4"/>
    <w:rsid w:val="00E8698E"/>
    <w:rsid w:val="00E87D0A"/>
    <w:rsid w:val="00E91B8C"/>
    <w:rsid w:val="00E96DA9"/>
    <w:rsid w:val="00EA1539"/>
    <w:rsid w:val="00EA467C"/>
    <w:rsid w:val="00EA61B8"/>
    <w:rsid w:val="00EC1007"/>
    <w:rsid w:val="00EC532E"/>
    <w:rsid w:val="00ED0A2C"/>
    <w:rsid w:val="00ED2113"/>
    <w:rsid w:val="00EE4123"/>
    <w:rsid w:val="00EF1292"/>
    <w:rsid w:val="00EF138C"/>
    <w:rsid w:val="00EF2B89"/>
    <w:rsid w:val="00EF5049"/>
    <w:rsid w:val="00EF5493"/>
    <w:rsid w:val="00EF5F9A"/>
    <w:rsid w:val="00F001F5"/>
    <w:rsid w:val="00F02E44"/>
    <w:rsid w:val="00F056C4"/>
    <w:rsid w:val="00F07CB8"/>
    <w:rsid w:val="00F12507"/>
    <w:rsid w:val="00F2022A"/>
    <w:rsid w:val="00F23E40"/>
    <w:rsid w:val="00F25CC6"/>
    <w:rsid w:val="00F276C5"/>
    <w:rsid w:val="00F30AD6"/>
    <w:rsid w:val="00F3163D"/>
    <w:rsid w:val="00F41652"/>
    <w:rsid w:val="00F43E1C"/>
    <w:rsid w:val="00F50366"/>
    <w:rsid w:val="00F50AFE"/>
    <w:rsid w:val="00F517D6"/>
    <w:rsid w:val="00F52B93"/>
    <w:rsid w:val="00F614DC"/>
    <w:rsid w:val="00F629C1"/>
    <w:rsid w:val="00F710ED"/>
    <w:rsid w:val="00F760BA"/>
    <w:rsid w:val="00F77310"/>
    <w:rsid w:val="00F820C4"/>
    <w:rsid w:val="00F84784"/>
    <w:rsid w:val="00F87C7E"/>
    <w:rsid w:val="00F90785"/>
    <w:rsid w:val="00FA6190"/>
    <w:rsid w:val="00FA6F57"/>
    <w:rsid w:val="00FC0D75"/>
    <w:rsid w:val="00FC10B6"/>
    <w:rsid w:val="00FC3B0A"/>
    <w:rsid w:val="00FC3D24"/>
    <w:rsid w:val="00FD2C2A"/>
    <w:rsid w:val="00FD581F"/>
    <w:rsid w:val="00FE02FE"/>
    <w:rsid w:val="00FE506A"/>
    <w:rsid w:val="00FE5F7B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21"/>
    <w:pPr>
      <w:spacing w:after="0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styleId="Heading2">
    <w:name w:val="heading 2"/>
    <w:basedOn w:val="Normal"/>
    <w:next w:val="Normal"/>
    <w:link w:val="Heading2Char"/>
    <w:qFormat/>
    <w:rsid w:val="00E000AC"/>
    <w:pPr>
      <w:keepNext/>
      <w:spacing w:before="240" w:after="240"/>
      <w:outlineLvl w:val="1"/>
    </w:pPr>
    <w:rPr>
      <w:rFonts w:ascii="Book Antiqua" w:eastAsia="MS ??" w:hAnsi="Book Antiqua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2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3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D0"/>
    <w:rPr>
      <w:rFonts w:ascii="Segoe UI" w:eastAsia="MS Mincho" w:hAnsi="Segoe UI" w:cs="Segoe UI"/>
      <w:sz w:val="18"/>
      <w:szCs w:val="18"/>
      <w:lang w:val="sq-AL"/>
    </w:rPr>
  </w:style>
  <w:style w:type="paragraph" w:styleId="FootnoteText">
    <w:name w:val="footnote text"/>
    <w:basedOn w:val="Normal"/>
    <w:link w:val="FootnoteTextChar"/>
    <w:semiHidden/>
    <w:unhideWhenUsed/>
    <w:rsid w:val="00B601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010B"/>
    <w:rPr>
      <w:rFonts w:ascii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B6010B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B6010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B6010B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010B"/>
    <w:rPr>
      <w:rFonts w:ascii="Times New Roman" w:eastAsia="MS ??" w:hAnsi="Times New Roman" w:cs="Times New Roman"/>
      <w:sz w:val="20"/>
      <w:szCs w:val="20"/>
      <w:lang w:val="sq-AL"/>
    </w:rPr>
  </w:style>
  <w:style w:type="character" w:customStyle="1" w:styleId="Heading2Char">
    <w:name w:val="Heading 2 Char"/>
    <w:basedOn w:val="DefaultParagraphFont"/>
    <w:link w:val="Heading2"/>
    <w:rsid w:val="00E000AC"/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character" w:customStyle="1" w:styleId="shorttext">
    <w:name w:val="short_text"/>
    <w:basedOn w:val="DefaultParagraphFont"/>
    <w:rsid w:val="00E000AC"/>
  </w:style>
  <w:style w:type="paragraph" w:styleId="NoSpacing">
    <w:name w:val="No Spacing"/>
    <w:link w:val="NoSpacingChar"/>
    <w:uiPriority w:val="1"/>
    <w:qFormat/>
    <w:rsid w:val="002D11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138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97FC5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7FC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FC5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7FC5"/>
    <w:rPr>
      <w:rFonts w:eastAsiaTheme="minorEastAsia"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21"/>
    <w:pPr>
      <w:spacing w:after="0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styleId="Heading2">
    <w:name w:val="heading 2"/>
    <w:basedOn w:val="Normal"/>
    <w:next w:val="Normal"/>
    <w:link w:val="Heading2Char"/>
    <w:qFormat/>
    <w:rsid w:val="00E000AC"/>
    <w:pPr>
      <w:keepNext/>
      <w:spacing w:before="240" w:after="240"/>
      <w:outlineLvl w:val="1"/>
    </w:pPr>
    <w:rPr>
      <w:rFonts w:ascii="Book Antiqua" w:eastAsia="MS ??" w:hAnsi="Book Antiqua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2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3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D0"/>
    <w:rPr>
      <w:rFonts w:ascii="Segoe UI" w:eastAsia="MS Mincho" w:hAnsi="Segoe UI" w:cs="Segoe UI"/>
      <w:sz w:val="18"/>
      <w:szCs w:val="18"/>
      <w:lang w:val="sq-AL"/>
    </w:rPr>
  </w:style>
  <w:style w:type="paragraph" w:styleId="FootnoteText">
    <w:name w:val="footnote text"/>
    <w:basedOn w:val="Normal"/>
    <w:link w:val="FootnoteTextChar"/>
    <w:semiHidden/>
    <w:unhideWhenUsed/>
    <w:rsid w:val="00B601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010B"/>
    <w:rPr>
      <w:rFonts w:ascii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B6010B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B6010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B6010B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010B"/>
    <w:rPr>
      <w:rFonts w:ascii="Times New Roman" w:eastAsia="MS ??" w:hAnsi="Times New Roman" w:cs="Times New Roman"/>
      <w:sz w:val="20"/>
      <w:szCs w:val="20"/>
      <w:lang w:val="sq-AL"/>
    </w:rPr>
  </w:style>
  <w:style w:type="character" w:customStyle="1" w:styleId="Heading2Char">
    <w:name w:val="Heading 2 Char"/>
    <w:basedOn w:val="DefaultParagraphFont"/>
    <w:link w:val="Heading2"/>
    <w:rsid w:val="00E000AC"/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character" w:customStyle="1" w:styleId="shorttext">
    <w:name w:val="short_text"/>
    <w:basedOn w:val="DefaultParagraphFont"/>
    <w:rsid w:val="00E000AC"/>
  </w:style>
  <w:style w:type="paragraph" w:styleId="NoSpacing">
    <w:name w:val="No Spacing"/>
    <w:link w:val="NoSpacingChar"/>
    <w:uiPriority w:val="1"/>
    <w:qFormat/>
    <w:rsid w:val="002D11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138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97FC5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7FC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FC5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7FC5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ODELJENJE ZA EVROPSKE INTEGRACIJE I KOORDINACIJU POLITIKA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79584-2620-44F7-833D-918B5B23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 sa objašnjenjima regionalne politike u Evropskoj uniji.</dc:subject>
  <dc:creator>Xhevat Sefaj</dc:creator>
  <cp:keywords/>
  <dc:description/>
  <cp:lastModifiedBy>Agron Asllani</cp:lastModifiedBy>
  <cp:revision>6</cp:revision>
  <cp:lastPrinted>2019-12-18T08:13:00Z</cp:lastPrinted>
  <dcterms:created xsi:type="dcterms:W3CDTF">2020-10-26T10:35:00Z</dcterms:created>
  <dcterms:modified xsi:type="dcterms:W3CDTF">2020-11-02T11:56:00Z</dcterms:modified>
</cp:coreProperties>
</file>