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9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object w:dxaOrig="1437" w:dyaOrig="1154">
          <v:rect xmlns:o="urn:schemas-microsoft-com:office:office" xmlns:v="urn:schemas-microsoft-com:vml" id="rectole0000000000" style="width:71.850000pt;height:57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-9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90" w:left="0" w:firstLine="0"/>
        <w:jc w:val="left"/>
        <w:rPr>
          <w:rFonts w:ascii="Book Antiqua" w:hAnsi="Book Antiqua" w:cs="Book Antiqua" w:eastAsia="Book Antiqua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-90" w:left="0" w:firstLine="0"/>
        <w:jc w:val="center"/>
        <w:rPr>
          <w:rFonts w:ascii="Book Antiqua" w:hAnsi="Book Antiqua" w:cs="Book Antiqua" w:eastAsia="Book Antiqu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32"/>
          <w:shd w:fill="auto" w:val="clear"/>
        </w:rPr>
        <w:t xml:space="preserve">Republika e Kosovës</w:t>
      </w:r>
    </w:p>
    <w:p>
      <w:pPr>
        <w:spacing w:before="0" w:after="0" w:line="240"/>
        <w:ind w:right="-90" w:left="0" w:firstLine="0"/>
        <w:jc w:val="center"/>
        <w:rPr>
          <w:rFonts w:ascii="Book Antiqua" w:hAnsi="Book Antiqua" w:cs="Book Antiqua" w:eastAsia="Book Antiqu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8"/>
          <w:shd w:fill="auto" w:val="clear"/>
        </w:rPr>
        <w:t xml:space="preserve">Republika Kosova-Republic of Kosovo</w:t>
      </w: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Qeveria - Vlada 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 Government</w:t>
      </w: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i/>
          <w:color w:val="auto"/>
          <w:spacing w:val="0"/>
          <w:position w:val="0"/>
          <w:sz w:val="22"/>
          <w:shd w:fill="auto" w:val="clear"/>
        </w:rPr>
        <w:t xml:space="preserve">Ministria e Zhvillimit Rajonal</w:t>
      </w: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i/>
          <w:color w:val="auto"/>
          <w:spacing w:val="0"/>
          <w:position w:val="0"/>
          <w:sz w:val="22"/>
          <w:shd w:fill="auto" w:val="clear"/>
        </w:rPr>
        <w:t xml:space="preserve">Ministarstvo za Regionalni Razvoj</w:t>
      </w: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i/>
          <w:color w:val="auto"/>
          <w:spacing w:val="0"/>
          <w:position w:val="0"/>
          <w:sz w:val="22"/>
          <w:shd w:fill="auto" w:val="clear"/>
        </w:rPr>
        <w:t xml:space="preserve">Ministry of Regional Development</w:t>
      </w: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Book Antiqua" w:hAnsi="Book Antiqua" w:cs="Book Antiqua" w:eastAsia="Book Antiqua"/>
          <w:i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Prishtinë, 18 qershor 2018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Bazuar në nenin 12 (paragrafi 4) të Ligjit Nr. 03/ L -149 për Shërbimin Civil të Republikës së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Kosovës, me qëllim të ofrimit të shërbimeve të veçanta, bënë: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Shpallje të Konkursit Publik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për Marrëveshje për Shërbime të Veçanta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2605"/>
        <w:gridCol w:w="6745"/>
      </w:tblGrid>
      <w:tr>
        <w:trPr>
          <w:trHeight w:val="413" w:hRule="auto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Emri i Institucionit:</w:t>
            </w:r>
          </w:p>
        </w:tc>
        <w:tc>
          <w:tcPr>
            <w:tcW w:w="6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42" w:leader="none"/>
              </w:tabs>
              <w:spacing w:before="0" w:after="0" w:line="240"/>
              <w:ind w:right="0" w:left="162" w:hanging="162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Ministria e Zhvillimit Rajonal</w:t>
            </w: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Njësia Organizative:</w:t>
            </w:r>
          </w:p>
        </w:tc>
        <w:tc>
          <w:tcPr>
            <w:tcW w:w="6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42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Departamenti për Zhvillim Rajonal</w:t>
            </w:r>
          </w:p>
        </w:tc>
      </w:tr>
      <w:tr>
        <w:trPr>
          <w:trHeight w:val="70" w:hRule="auto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Titulli i punës:</w:t>
            </w:r>
          </w:p>
        </w:tc>
        <w:tc>
          <w:tcPr>
            <w:tcW w:w="6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52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Zyrtar për menaxhimin e Projekteve</w:t>
            </w:r>
          </w:p>
        </w:tc>
      </w:tr>
      <w:tr>
        <w:trPr>
          <w:trHeight w:val="323" w:hRule="auto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Numri i referencës:</w:t>
            </w:r>
          </w:p>
        </w:tc>
        <w:tc>
          <w:tcPr>
            <w:tcW w:w="6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AR/590</w:t>
            </w: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Niveli i pagës:</w:t>
            </w:r>
          </w:p>
        </w:tc>
        <w:tc>
          <w:tcPr>
            <w:tcW w:w="6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Koeficienti 6</w:t>
            </w: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Raporton te:</w:t>
            </w:r>
          </w:p>
        </w:tc>
        <w:tc>
          <w:tcPr>
            <w:tcW w:w="6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Udhëheqësi i Divizionit për Zhvillim dhe Menaxhim të Projekteve</w:t>
            </w: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Lloji i kontratës:</w:t>
            </w:r>
          </w:p>
        </w:tc>
        <w:tc>
          <w:tcPr>
            <w:tcW w:w="6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Marrëveshje për shërbime të veçanta</w:t>
            </w: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Kohëzgjatja e kontratës:</w:t>
            </w:r>
          </w:p>
        </w:tc>
        <w:tc>
          <w:tcPr>
            <w:tcW w:w="6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Tre (3) muaj</w:t>
            </w: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Orari i punës:</w:t>
            </w:r>
          </w:p>
        </w:tc>
        <w:tc>
          <w:tcPr>
            <w:tcW w:w="6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 plotë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/40 orë në javë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Numri i zyrtarëve:</w:t>
            </w:r>
          </w:p>
        </w:tc>
        <w:tc>
          <w:tcPr>
            <w:tcW w:w="6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Një (1)</w:t>
            </w: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Vendi:</w:t>
            </w:r>
          </w:p>
        </w:tc>
        <w:tc>
          <w:tcPr>
            <w:tcW w:w="6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Prishtinë/Ndërtesa qeveritare “Ish Pallati Rilindja” kati i 10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Qëllimi i vendit të punës: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Mbikëqyrja zbatimit të politikave, dhe standardeve  për projektet për objektet shkollore, punët e elektroteknikes  si dhe mirëmbajtën e tyre.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Detyrat Kryesore: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 Harton dhe zhvillon planet e punës në pajtim me mbikëqyrësin për zbatimin e detyrave të përcaktuara në bazë të objektivave të njësisë dhe jep rekomandime lidhur me realizimin e këtyre objektivave; 10%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 Harton dhe zhvillon, politikat, standardet dhe normat për menaxhimin dhe mbikëqyrjen e projekteve për hapësirat shkollore dhe aftësuese , mirëmbajtjen e tyre si dhe inspektimin e punimeve në fushën e elektrikes ;  15%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3. Përgatit dokumentet për projektet e ndërtimit dhe mirëmbajtjes, përfshirë planin, specifikimet teknike, dokumentacionin  e tenderëve, instruksionet, shtrirjen e punimeve dhe koston financiare;15% 4. Mbikëqyre zbatimin e kontratave të financuar nga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ZHR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për ndërtimin e objekteve shkollore për punët e elektrikes si dhe ndihmon sektorët tjerë të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ZHR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-it në administrimin e kontratave; 15%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 Monitoron kontratat mbi ndërtimet dhe mirëmbajtjen e objekteve shkollore të financuara nga komunat dhe donatorët lidhur me respektimin e standardeve dhe normave të ndërtimit;15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 Mbikëqyrë dhe udhëheqë inspektimin e punimeve në objektet shkollore të financuara nga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ZHR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në koordinim me udhëheqësin  e divizionit të menaxhimit te projekteve; 15%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7. Përgatit dokumentet e nevojshme për krijim qendrave kompjuterike ne shkolla, mbikëqyrë projektet për zhvillimin e teknologjisë informative në shkolla si dhe këshillon menaxhmentin 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ZHR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-it për këtë fushë; 10%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8. Kryen edhe detyra tjetër në përputhje me ligjet dhe rregulloret  të cilat mund të kërkohen në mënyrë të arsyeshme kohë pas kohe nga mbikëqyrësi; 5%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Kualifikimet dhe shkathtësitë e kërkuara:</w:t>
      </w:r>
    </w:p>
    <w:p>
      <w:pPr>
        <w:numPr>
          <w:ilvl w:val="0"/>
          <w:numId w:val="44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Fakulteti ne shkenca teknike, ekonomise, drejtesise, apo te ngjajshmeNjohuri dhe përvojë në  ndërtimtari pjesa e elektroteknikës  si dhe në mbikëqyrjen dhe menaxhimin e projekteve ; </w:t>
      </w:r>
    </w:p>
    <w:p>
      <w:pPr>
        <w:numPr>
          <w:ilvl w:val="0"/>
          <w:numId w:val="44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Njohuri të ligjeve dhe rregulloreve të aplikueshme lidhur me ndërtimtarinë;</w:t>
      </w:r>
    </w:p>
    <w:p>
      <w:pPr>
        <w:numPr>
          <w:ilvl w:val="0"/>
          <w:numId w:val="44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Shkathtësi në komunikim planifikim të punës dhe udhëheqje të ekipit; </w:t>
      </w:r>
    </w:p>
    <w:p>
      <w:pPr>
        <w:numPr>
          <w:ilvl w:val="0"/>
          <w:numId w:val="44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Shkathtësi  hulumtuese, analitike, vlerësuese dhe formulim të rekomandimeve dhe këshillave;   </w:t>
      </w:r>
    </w:p>
    <w:p>
      <w:pPr>
        <w:numPr>
          <w:ilvl w:val="0"/>
          <w:numId w:val="44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Aftësi për përmbushje të detyrave dhe punëve nën presion; </w:t>
      </w:r>
    </w:p>
    <w:p>
      <w:pPr>
        <w:numPr>
          <w:ilvl w:val="0"/>
          <w:numId w:val="44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Shkathtësi kompjuterike të aplikacioneve të programeve (Word, Excel, Power Point, Internet, Access AutoCAD, ArchiCAD).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Kushtet e pjesëmarrjes në konkurs: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Të drejtë aplikimi kanë të gjithë Qytetarët e Republikës së Kosovës të moshës madhore të cilët kanë zotësi të plotë për të vepruar, janë në posedim të drejtave civile dhe politike, kanë përgatitjen e nevojshme arsimore dhe aftësinë profesionale për kryerjen e detyrave që kërkohen për pozitën përkatëse.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Aktet ligjore që e rregullojnë rekrutimin: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Përzgjedhja bëhet në pajtim me nenin 12 (paragrafi 4) të Ligjit Nr. 03/L-149 të Shërbimit Civil të Republikës së Kosovës. Në këtë konkurs zbatohet një procedurë e thjeshtësuar e rekrutimit.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Procedurat e konkurrimit: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Procedura e konkurrimit është e hapur për kandidatët e jashtëm.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Paraqitja e kërkesave: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Marrja dhe dorëzimi i aplikacioneve: Ministria e Zhvillimit Rajonal - Divizioni për Burime Njerëzore, zyra nr. 1017 kati X, ndërtesa e dytë qeveritare,” Ish Pallati i Rilindjes”, Prishtinë, ose mund të shkarkohen në ueb-faqen zyrtare të MZHR-së.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Konkursi mbetet i hapur 5 ditë kalendarike, nga dita e publikimit. Data e mbylljes së konkursit me 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2"/>
          <w:shd w:fill="auto" w:val="clear"/>
        </w:rPr>
        <w:t xml:space="preserve">22.06.2018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Aplikacionet e dërguara me postë, të cilat mbajnë vulën postare mbi dërgesën e bërë ditën e fundit të afatit për aplikim, do të konsiderohen të vlefshme dhe do të merren në shqyrtim nëse arrijnë brenda 2 ditësh; aplikacionet që arrijnë pas këtij afati dhe aplikacionet e mangëta refuzohen.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Aplikacionit i bashkëngjiten kopjet e dokumentacionit për kualifikimin arsimor, letërnjoftimin dhe dokumentacionet e tjera të nevojshme që kërkon vendi i punës, për të cilin konkurrohet.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Aplikacionet e dorëzuara nuk kthehen!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Vetëm kandidatët e përzgjedhur në listën e shkurtër do të kontaktohen.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MZHR-ja mirëpret aplikacionet nga të gjithë personat e gjinisë mashkullore dhe femërore, nga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të gjitha komunitetet.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Për informata më të hollësishme mund ta kontaktoni Divizionin e Burimeve Njerëzore.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Tel. 038 200 35538, prej orës 8:00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16:00.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