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32"/>
          <w:shd w:fill="auto" w:val="clear"/>
        </w:rPr>
      </w:pPr>
      <w:r>
        <w:object w:dxaOrig="1267" w:dyaOrig="1022">
          <v:rect xmlns:o="urn:schemas-microsoft-com:office:office" xmlns:v="urn:schemas-microsoft-com:vml" id="rectole0000000000" style="width:63.350000pt;height:51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-9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-9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-9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32"/>
          <w:shd w:fill="auto" w:val="clear"/>
        </w:rPr>
        <w:t xml:space="preserve">Republika e Kosovës</w:t>
      </w:r>
    </w:p>
    <w:p>
      <w:pPr>
        <w:spacing w:before="0" w:after="0" w:line="240"/>
        <w:ind w:right="-9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6"/>
          <w:shd w:fill="auto" w:val="clear"/>
        </w:rPr>
        <w:t xml:space="preserve">Republika Kosova-Republic of Kosovo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Qeveria - Vlada 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Government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  <w:t xml:space="preserve">Ministria e Zhvillimit Rajonal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  <w:t xml:space="preserve">Ministarstvo za Regionalni Razvoj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  <w:t xml:space="preserve">Ministry of Regional Development</w:t>
      </w:r>
    </w:p>
    <w:p>
      <w:pPr>
        <w:spacing w:before="0" w:after="20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200" w:line="240"/>
        <w:ind w:right="0" w:left="0" w:firstLine="0"/>
        <w:jc w:val="right"/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  <w:t xml:space="preserve">Prishtinë, datë 03.08.2018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NJOFTIM PËR KANDIDATIN E SUKSESSHËM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Në bazë të Nenit 41, pika 2 të Rregullores Nr. 02/2010 për Procedurat e Rekrutimit në Shërbimin Civil, Ministria e Zhvillimit Rajonal bënë njoftimin për kandidatin e suksesshëm të rekomanduar nga Komisioni Përzgjedhës i Shërbimit Civil të MZHR - së, pas përfundimit të procedurës së rekrutimit për pozitën: Udhëheqës i Divizionit për Buxhet dhe Financa;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  <w:t xml:space="preserve">Titulli i vendit të Punës:......... Udhëheqës i Divizionit për Buxhet dhe Financa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Me numër reference: …………. BF/130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Emri dhe Mbiemri:  …………. Fatmire Thaçi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Pikët totale të fituara: …...……. 88.3 %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Kandidatët e pa kënaqur me rezultatin e konkursit kanë të drejtë ankese në afat prej 30 ditësh nga dita e publikimit te këtij njoftimi. Ankesa i drejtohet Komisionit për Zgjidhjen e Kontesteve dhe Ankesave në kuadër të MZHR-së.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Me respekt,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DBNJ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MZHR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OBAVE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ŠTENJE ZA USPEŠNOG KANDIDATA</w:t>
      </w:r>
    </w:p>
    <w:p>
      <w:pPr>
        <w:tabs>
          <w:tab w:val="left" w:pos="252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Na osnovu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Člana 41, tačka 2 Uredbe br. 02/2010 o Procedurama Rekrutacije u Civilnoj Službi, Ministarstvo za regionalni razvoj vrši obaveštenje o uspešnom kandidatu kojeg je preporučila Izborna Komisija Civilne službe MRR-a, posle završteka procedure rekrutacije za položaj,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Rukovodilac divizije za budžet i finansije</w:t>
      </w:r>
    </w:p>
    <w:p>
      <w:pPr>
        <w:tabs>
          <w:tab w:val="left" w:pos="252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  <w:br/>
        <w:t xml:space="preserve">Naziv radnog mesta: ………………….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Rukovodilac divizije za bud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žet i finansije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Sa brojem preporuke:     ............... BF/130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Ime i Prezime:     ……………............. Fatmire Thaçi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Ukupno dobijenih poena: ….………..88.3 %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Kandidati koji su nezadovoljni rezultatima konkursa imaju pravu 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žalbu u roku od 30 dana od dana objavljivanja ovog obveštenja. Žalbom se obraćaju Komisiji za rešavanje sporova i žalbi unutar MRZ-a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 po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štovanjem,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Kancelarija Personela- MRR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