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-171449</wp:posOffset>
            </wp:positionV>
            <wp:extent cx="914400" cy="800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4179" w:rsidRPr="00741C9F" w:rsidRDefault="00234179" w:rsidP="00234179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234179" w:rsidRPr="00741C9F" w:rsidRDefault="00234179" w:rsidP="00234179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8"/>
          <w:szCs w:val="28"/>
          <w:lang w:val="sv-SE"/>
        </w:rPr>
      </w:pPr>
      <w:r w:rsidRPr="00741C9F">
        <w:rPr>
          <w:rFonts w:ascii="Book Antiqua" w:eastAsia="Batang" w:hAnsi="Book Antiqua"/>
          <w:b/>
          <w:bCs/>
          <w:sz w:val="28"/>
          <w:szCs w:val="28"/>
          <w:lang w:val="sv-SE"/>
        </w:rPr>
        <w:t>Republika Kosova-</w:t>
      </w:r>
      <w:r w:rsidRPr="00741C9F">
        <w:rPr>
          <w:rFonts w:ascii="Book Antiqua" w:hAnsi="Book Antiqua"/>
          <w:b/>
          <w:bCs/>
          <w:sz w:val="28"/>
          <w:szCs w:val="28"/>
          <w:lang w:val="sv-SE"/>
        </w:rPr>
        <w:t xml:space="preserve">Republic of </w:t>
      </w:r>
      <w:r w:rsidRPr="00741C9F">
        <w:rPr>
          <w:rFonts w:ascii="Book Antiqua" w:hAnsi="Book Antiqua"/>
          <w:b/>
          <w:bCs/>
          <w:sz w:val="28"/>
          <w:szCs w:val="28"/>
        </w:rPr>
        <w:t>Kosovo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ZhvillimitRajonal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MinistarstvozaRegionalniRazvoj</w:t>
      </w:r>
      <w:proofErr w:type="spellEnd"/>
    </w:p>
    <w:p w:rsidR="00234179" w:rsidRPr="0083767E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234179" w:rsidRDefault="00234179" w:rsidP="00234179">
      <w:pPr>
        <w:spacing w:after="0" w:line="240" w:lineRule="auto"/>
        <w:jc w:val="center"/>
        <w:rPr>
          <w:rFonts w:ascii="Book Antiqua" w:eastAsia="MS Mincho" w:hAnsi="Book Antiqua"/>
          <w:i/>
          <w:sz w:val="20"/>
          <w:szCs w:val="20"/>
        </w:rPr>
      </w:pPr>
      <w:r w:rsidRPr="00741C9F">
        <w:rPr>
          <w:rFonts w:ascii="Book Antiqua" w:eastAsia="MS Mincho" w:hAnsi="Book Antiqua"/>
          <w:i/>
          <w:sz w:val="20"/>
          <w:szCs w:val="20"/>
        </w:rPr>
        <w:t>__________________________________________________________________</w:t>
      </w:r>
      <w:r>
        <w:rPr>
          <w:rFonts w:ascii="Book Antiqua" w:eastAsia="MS Mincho" w:hAnsi="Book Antiqua"/>
          <w:i/>
          <w:sz w:val="20"/>
          <w:szCs w:val="20"/>
        </w:rPr>
        <w:t>___________________________</w:t>
      </w:r>
    </w:p>
    <w:p w:rsidR="00065E2A" w:rsidRPr="00155B22" w:rsidRDefault="00C23CF4" w:rsidP="00CE314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color w:val="FF0000"/>
          <w:sz w:val="24"/>
          <w:szCs w:val="24"/>
          <w:lang w:val="sq-AL"/>
        </w:rPr>
      </w:pPr>
      <w:r w:rsidRPr="00155B2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Prishtinë,</w:t>
      </w:r>
      <w:r w:rsidR="00D0724D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1</w:t>
      </w:r>
      <w:r w:rsidR="00852AEB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6</w:t>
      </w:r>
      <w:r w:rsidR="006574FB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 xml:space="preserve"> Korrik</w:t>
      </w:r>
      <w:r w:rsidR="00F23825" w:rsidRPr="00155B22">
        <w:rPr>
          <w:rFonts w:ascii="Times New Roman" w:eastAsiaTheme="minorHAnsi" w:hAnsi="Times New Roman"/>
          <w:color w:val="FF0000"/>
          <w:sz w:val="24"/>
          <w:szCs w:val="24"/>
          <w:lang w:val="sq-AL"/>
        </w:rPr>
        <w:t>.2019</w:t>
      </w:r>
    </w:p>
    <w:p w:rsidR="00AC20BA" w:rsidRDefault="00AC20BA" w:rsidP="00234179">
      <w:pPr>
        <w:autoSpaceDE w:val="0"/>
        <w:autoSpaceDN w:val="0"/>
        <w:adjustRightInd w:val="0"/>
        <w:spacing w:after="0" w:line="240" w:lineRule="auto"/>
        <w:rPr>
          <w:rFonts w:ascii="Book Antiqua" w:hAnsi="Book Antiqua"/>
          <w:bCs/>
          <w:color w:val="000000"/>
        </w:rPr>
      </w:pPr>
    </w:p>
    <w:p w:rsidR="00234179" w:rsidRPr="00AC20B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</w:rPr>
      </w:pPr>
      <w:proofErr w:type="spellStart"/>
      <w:r w:rsidRPr="00AC20BA">
        <w:rPr>
          <w:rFonts w:ascii="Times New Roman" w:hAnsi="Times New Roman"/>
          <w:bCs/>
          <w:color w:val="000000"/>
        </w:rPr>
        <w:t>Në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bazë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 </w:t>
      </w:r>
      <w:proofErr w:type="spellStart"/>
      <w:r w:rsidRPr="00AC20BA">
        <w:rPr>
          <w:rFonts w:ascii="Times New Roman" w:hAnsi="Times New Roman"/>
          <w:bCs/>
          <w:color w:val="000000"/>
        </w:rPr>
        <w:t>Ligjit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Nr. 03/L-149,  </w:t>
      </w:r>
      <w:proofErr w:type="spellStart"/>
      <w:r w:rsidRPr="00AC20BA">
        <w:rPr>
          <w:rFonts w:ascii="Times New Roman" w:hAnsi="Times New Roman"/>
          <w:bCs/>
          <w:color w:val="000000"/>
        </w:rPr>
        <w:t>për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Shërbimin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Civil  </w:t>
      </w:r>
      <w:proofErr w:type="spellStart"/>
      <w:r w:rsidRPr="00AC20BA">
        <w:rPr>
          <w:rFonts w:ascii="Times New Roman" w:hAnsi="Times New Roman"/>
          <w:bCs/>
          <w:color w:val="000000"/>
        </w:rPr>
        <w:t>të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Republikës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së </w:t>
      </w:r>
      <w:proofErr w:type="spellStart"/>
      <w:r w:rsidRPr="00AC20BA">
        <w:rPr>
          <w:rFonts w:ascii="Times New Roman" w:hAnsi="Times New Roman"/>
          <w:bCs/>
          <w:color w:val="000000"/>
        </w:rPr>
        <w:t>Kosovës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AC20BA">
        <w:rPr>
          <w:rFonts w:ascii="Times New Roman" w:hAnsi="Times New Roman"/>
          <w:bCs/>
          <w:color w:val="000000"/>
        </w:rPr>
        <w:t>dhe</w:t>
      </w:r>
      <w:proofErr w:type="spellEnd"/>
      <w:r w:rsidRPr="00AC20BA">
        <w:rPr>
          <w:rFonts w:ascii="Times New Roman" w:hAnsi="Times New Roman"/>
          <w:bCs/>
          <w:color w:val="000000"/>
        </w:rPr>
        <w:t xml:space="preserve">  </w:t>
      </w:r>
      <w:r w:rsidRPr="00AC20BA">
        <w:rPr>
          <w:rFonts w:ascii="Times New Roman" w:hAnsi="Times New Roman"/>
          <w:noProof/>
        </w:rPr>
        <w:t>Rregullores Nr.02/2010 neni 15 paragrafi 2 për Procedurat e Rekrutimit në Shërbimin Civil</w:t>
      </w:r>
      <w:r w:rsidR="00CE3148" w:rsidRPr="00AC20BA">
        <w:rPr>
          <w:rFonts w:ascii="Times New Roman" w:hAnsi="Times New Roman"/>
          <w:noProof/>
        </w:rPr>
        <w:t xml:space="preserve"> Ministria e Zhvillimit Rajonal</w:t>
      </w:r>
      <w:r w:rsidR="00FF7BEF" w:rsidRPr="00AC20BA">
        <w:rPr>
          <w:rFonts w:ascii="Times New Roman" w:hAnsi="Times New Roman"/>
          <w:noProof/>
        </w:rPr>
        <w:t xml:space="preserve"> shpall:</w:t>
      </w:r>
    </w:p>
    <w:p w:rsidR="00065E2A" w:rsidRDefault="00065E2A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1C1FF1" w:rsidRPr="005F4E18" w:rsidRDefault="001C1FF1" w:rsidP="00A7353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bCs/>
          <w:sz w:val="36"/>
          <w:szCs w:val="36"/>
          <w:lang w:val="sq-AL"/>
        </w:rPr>
      </w:pPr>
      <w:r w:rsidRPr="005F4E18">
        <w:rPr>
          <w:rFonts w:ascii="Times New Roman" w:eastAsiaTheme="minorHAnsi" w:hAnsi="Times New Roman"/>
          <w:b/>
          <w:bCs/>
          <w:sz w:val="36"/>
          <w:szCs w:val="36"/>
          <w:lang w:val="sq-AL"/>
        </w:rPr>
        <w:t>Konkurs</w:t>
      </w:r>
    </w:p>
    <w:p w:rsidR="0023417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8"/>
          <w:szCs w:val="28"/>
          <w:lang w:val="sq-AL"/>
        </w:rPr>
      </w:pPr>
    </w:p>
    <w:tbl>
      <w:tblPr>
        <w:tblStyle w:val="TableGrid"/>
        <w:tblW w:w="9450" w:type="dxa"/>
        <w:tblInd w:w="-5" w:type="dxa"/>
        <w:tblLook w:val="04A0" w:firstRow="1" w:lastRow="0" w:firstColumn="1" w:lastColumn="0" w:noHBand="0" w:noVBand="1"/>
      </w:tblPr>
      <w:tblGrid>
        <w:gridCol w:w="2613"/>
        <w:gridCol w:w="6837"/>
      </w:tblGrid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Emri i Institucionit:</w:t>
            </w:r>
          </w:p>
        </w:tc>
        <w:tc>
          <w:tcPr>
            <w:tcW w:w="6837" w:type="dxa"/>
          </w:tcPr>
          <w:p w:rsidR="00234179" w:rsidRPr="00A1719D" w:rsidRDefault="00234179" w:rsidP="0089539B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Ministria e Zhvillimit Rajonal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Njësia Organizative:</w:t>
            </w:r>
          </w:p>
        </w:tc>
        <w:tc>
          <w:tcPr>
            <w:tcW w:w="6837" w:type="dxa"/>
          </w:tcPr>
          <w:p w:rsidR="00234179" w:rsidRPr="00A1719D" w:rsidRDefault="005D4F02" w:rsidP="00F32B2A">
            <w:pPr>
              <w:tabs>
                <w:tab w:val="left" w:pos="342"/>
              </w:tabs>
              <w:autoSpaceDE w:val="0"/>
              <w:autoSpaceDN w:val="0"/>
              <w:adjustRightInd w:val="0"/>
              <w:spacing w:after="0" w:line="240" w:lineRule="auto"/>
              <w:ind w:left="162" w:hanging="162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Departamenti 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për </w:t>
            </w:r>
            <w:r w:rsidR="00F32B2A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Zhvillim rajonal</w:t>
            </w:r>
          </w:p>
        </w:tc>
      </w:tr>
      <w:tr w:rsidR="00234179" w:rsidTr="005D4F02">
        <w:trPr>
          <w:trHeight w:val="278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Titulli i punës:</w:t>
            </w:r>
          </w:p>
        </w:tc>
        <w:tc>
          <w:tcPr>
            <w:tcW w:w="6837" w:type="dxa"/>
          </w:tcPr>
          <w:p w:rsidR="006D150B" w:rsidRPr="009F1E2C" w:rsidRDefault="00E92130" w:rsidP="00F32B2A">
            <w:pPr>
              <w:tabs>
                <w:tab w:val="left" w:pos="252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>
              <w:rPr>
                <w:rFonts w:ascii="Book Antiqua" w:hAnsi="Book Antiqua"/>
                <w:sz w:val="24"/>
                <w:szCs w:val="24"/>
                <w:lang w:val="sq-AL"/>
              </w:rPr>
              <w:t>Zyrtar</w:t>
            </w:r>
            <w:r w:rsidR="006574FB" w:rsidRPr="00D917F9">
              <w:rPr>
                <w:rFonts w:ascii="Book Antiqua" w:hAnsi="Book Antiqua"/>
                <w:sz w:val="24"/>
                <w:szCs w:val="24"/>
                <w:lang w:val="sq-AL"/>
              </w:rPr>
              <w:t xml:space="preserve"> i lart  për </w:t>
            </w:r>
            <w:r w:rsidR="006574FB" w:rsidRPr="00983FB2">
              <w:rPr>
                <w:rFonts w:ascii="Book Antiqua" w:hAnsi="Book Antiqua"/>
                <w:sz w:val="24"/>
                <w:szCs w:val="24"/>
                <w:lang w:val="sq-AL"/>
              </w:rPr>
              <w:t xml:space="preserve">koordinimin e </w:t>
            </w:r>
            <w:r w:rsidR="006574FB">
              <w:rPr>
                <w:rFonts w:ascii="Book Antiqua" w:hAnsi="Book Antiqua"/>
                <w:sz w:val="24"/>
                <w:szCs w:val="24"/>
                <w:lang w:val="sq-AL"/>
              </w:rPr>
              <w:t xml:space="preserve">nismave </w:t>
            </w:r>
            <w:r w:rsidR="006574FB" w:rsidRPr="00983FB2">
              <w:rPr>
                <w:rFonts w:ascii="Book Antiqua" w:hAnsi="Book Antiqua"/>
                <w:sz w:val="24"/>
                <w:szCs w:val="24"/>
                <w:lang w:val="sq-AL"/>
              </w:rPr>
              <w:t xml:space="preserve"> rajonal</w:t>
            </w:r>
            <w:r w:rsidR="006574FB">
              <w:rPr>
                <w:rFonts w:ascii="Book Antiqua" w:hAnsi="Book Antiqua"/>
                <w:sz w:val="24"/>
                <w:szCs w:val="24"/>
                <w:lang w:val="sq-AL"/>
              </w:rPr>
              <w:t>e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referencës:</w:t>
            </w:r>
          </w:p>
        </w:tc>
        <w:tc>
          <w:tcPr>
            <w:tcW w:w="6837" w:type="dxa"/>
          </w:tcPr>
          <w:p w:rsidR="00234179" w:rsidRPr="005D335A" w:rsidRDefault="00092077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>
              <w:t>PBS/370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Niveli i pagës:</w:t>
            </w:r>
          </w:p>
        </w:tc>
        <w:tc>
          <w:tcPr>
            <w:tcW w:w="6837" w:type="dxa"/>
          </w:tcPr>
          <w:p w:rsidR="00234179" w:rsidRPr="00A1719D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Koeficienti </w:t>
            </w:r>
            <w:r w:rsidR="006574FB">
              <w:rPr>
                <w:rFonts w:ascii="Times New Roman" w:eastAsiaTheme="minorHAnsi" w:hAnsi="Times New Roman"/>
                <w:b/>
                <w:bCs/>
                <w:lang w:val="sq-AL"/>
              </w:rPr>
              <w:t>(8</w:t>
            </w:r>
            <w:r w:rsidR="005110E4"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)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Raporton te:</w:t>
            </w:r>
          </w:p>
        </w:tc>
        <w:tc>
          <w:tcPr>
            <w:tcW w:w="6837" w:type="dxa"/>
          </w:tcPr>
          <w:p w:rsidR="00234179" w:rsidRPr="006574FB" w:rsidRDefault="00F53C56" w:rsidP="00417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Cs/>
                <w:color w:val="000000" w:themeColor="text1"/>
                <w:lang w:val="sq-AL"/>
              </w:rPr>
            </w:pPr>
            <w:r w:rsidRPr="006574FB">
              <w:rPr>
                <w:rFonts w:ascii="Times New Roman" w:eastAsiaTheme="minorHAnsi" w:hAnsi="Times New Roman"/>
                <w:bCs/>
                <w:sz w:val="24"/>
                <w:szCs w:val="24"/>
                <w:lang w:val="sq-AL"/>
              </w:rPr>
              <w:t xml:space="preserve">Udhëheqësi i divizionit </w:t>
            </w:r>
            <w:r w:rsidR="006574FB" w:rsidRPr="006574FB">
              <w:rPr>
                <w:rFonts w:ascii="Book Antiqua" w:hAnsi="Book Antiqua"/>
                <w:sz w:val="24"/>
                <w:szCs w:val="24"/>
                <w:lang w:val="sq-AL"/>
              </w:rPr>
              <w:t>për  zhvillimin dhe koordinimin e nismave  rajonale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Lloji i kontratës:</w:t>
            </w:r>
          </w:p>
        </w:tc>
        <w:tc>
          <w:tcPr>
            <w:tcW w:w="6837" w:type="dxa"/>
          </w:tcPr>
          <w:p w:rsidR="00234179" w:rsidRPr="00A1719D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Akt emrimi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F013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Kohëzgjatja e kontratës:</w:t>
            </w:r>
          </w:p>
        </w:tc>
        <w:tc>
          <w:tcPr>
            <w:tcW w:w="6837" w:type="dxa"/>
          </w:tcPr>
          <w:p w:rsidR="00234179" w:rsidRPr="00A1719D" w:rsidRDefault="00E57AB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color w:val="000000" w:themeColor="text1"/>
                <w:lang w:val="sq-AL"/>
              </w:rPr>
              <w:t>I karrierës</w:t>
            </w:r>
          </w:p>
        </w:tc>
      </w:tr>
      <w:tr w:rsidR="00234179" w:rsidTr="005D4F02">
        <w:trPr>
          <w:trHeight w:val="296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Orari i punës:</w:t>
            </w:r>
          </w:p>
        </w:tc>
        <w:tc>
          <w:tcPr>
            <w:tcW w:w="6837" w:type="dxa"/>
          </w:tcPr>
          <w:p w:rsidR="00234179" w:rsidRPr="00A1719D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 xml:space="preserve">I plotë </w:t>
            </w:r>
            <w:r w:rsidRPr="00A1719D">
              <w:rPr>
                <w:rFonts w:ascii="Times New Roman" w:eastAsiaTheme="minorHAnsi" w:hAnsi="Times New Roman"/>
                <w:b/>
                <w:bCs/>
                <w:i/>
                <w:iCs/>
                <w:lang w:val="sq-AL"/>
              </w:rPr>
              <w:t>/40 orë në javë</w:t>
            </w:r>
          </w:p>
        </w:tc>
      </w:tr>
      <w:tr w:rsidR="00234179" w:rsidTr="005D4F02">
        <w:trPr>
          <w:trHeight w:val="273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Numri i zyrtarëve:</w:t>
            </w:r>
          </w:p>
        </w:tc>
        <w:tc>
          <w:tcPr>
            <w:tcW w:w="6837" w:type="dxa"/>
          </w:tcPr>
          <w:p w:rsidR="00234179" w:rsidRPr="00A1719D" w:rsidRDefault="00935E8D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  <w:r w:rsidRPr="00A1719D">
              <w:rPr>
                <w:rFonts w:ascii="Times New Roman" w:eastAsiaTheme="minorHAnsi" w:hAnsi="Times New Roman"/>
                <w:b/>
                <w:bCs/>
                <w:lang w:val="sq-AL"/>
              </w:rPr>
              <w:t>Një (1)</w:t>
            </w:r>
          </w:p>
        </w:tc>
      </w:tr>
      <w:tr w:rsidR="00234179" w:rsidTr="005D4F02">
        <w:trPr>
          <w:trHeight w:val="341"/>
        </w:trPr>
        <w:tc>
          <w:tcPr>
            <w:tcW w:w="2613" w:type="dxa"/>
          </w:tcPr>
          <w:p w:rsidR="00234179" w:rsidRDefault="00234179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8"/>
                <w:szCs w:val="28"/>
                <w:lang w:val="sq-AL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val="sq-AL"/>
              </w:rPr>
              <w:t>Vendi:</w:t>
            </w:r>
          </w:p>
        </w:tc>
        <w:tc>
          <w:tcPr>
            <w:tcW w:w="6837" w:type="dxa"/>
          </w:tcPr>
          <w:p w:rsidR="00533684" w:rsidRPr="00436871" w:rsidRDefault="00533684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</w:pPr>
            <w:r w:rsidRPr="00436871"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>Prishtinë/</w:t>
            </w:r>
            <w:r>
              <w:rPr>
                <w:rFonts w:ascii="Times New Roman" w:eastAsiaTheme="minorHAnsi" w:hAnsi="Times New Roman"/>
                <w:b/>
                <w:bCs/>
                <w:sz w:val="24"/>
                <w:szCs w:val="24"/>
                <w:lang w:val="sq-AL"/>
              </w:rPr>
              <w:t xml:space="preserve"> Rruga Perandori Justinjan nr 116</w:t>
            </w:r>
          </w:p>
          <w:p w:rsidR="00B82EF0" w:rsidRPr="00A1719D" w:rsidRDefault="00B82EF0" w:rsidP="00895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b/>
                <w:bCs/>
                <w:lang w:val="sq-AL"/>
              </w:rPr>
            </w:pPr>
          </w:p>
        </w:tc>
      </w:tr>
    </w:tbl>
    <w:p w:rsidR="00DA33A2" w:rsidRDefault="00DA33A2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u w:val="single"/>
        </w:rPr>
      </w:pPr>
    </w:p>
    <w:p w:rsidR="00D94869" w:rsidRPr="00273AF9" w:rsidRDefault="00D674E5" w:rsidP="00D94869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</w:rPr>
      </w:pP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Qëllimi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i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vendit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të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>punës</w:t>
      </w:r>
      <w:proofErr w:type="spellEnd"/>
      <w:r w:rsidRPr="00D674E5">
        <w:rPr>
          <w:rFonts w:ascii="Book Antiqua" w:eastAsiaTheme="minorHAnsi" w:hAnsi="Book Antiqua" w:cs="Calibri"/>
          <w:b/>
          <w:bCs/>
          <w:color w:val="000000"/>
          <w:sz w:val="24"/>
          <w:szCs w:val="24"/>
        </w:rPr>
        <w:t xml:space="preserve">: </w:t>
      </w:r>
      <w:proofErr w:type="spellStart"/>
      <w:r w:rsidR="00D94869" w:rsidRPr="00273AF9">
        <w:rPr>
          <w:rFonts w:ascii="Book Antiqua" w:hAnsi="Book Antiqua" w:cs="Arial"/>
        </w:rPr>
        <w:t>Përkrahja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dhe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zbatimi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i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misionit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dhe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vizionit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të</w:t>
      </w:r>
      <w:proofErr w:type="spellEnd"/>
      <w:r w:rsidR="00D94869" w:rsidRPr="00273AF9">
        <w:rPr>
          <w:rFonts w:ascii="Book Antiqua" w:hAnsi="Book Antiqua" w:cs="Arial"/>
        </w:rPr>
        <w:t xml:space="preserve"> MZHR-së duke </w:t>
      </w:r>
      <w:proofErr w:type="spellStart"/>
      <w:r w:rsidR="00D94869" w:rsidRPr="00273AF9">
        <w:rPr>
          <w:rFonts w:ascii="Book Antiqua" w:hAnsi="Book Antiqua" w:cs="Arial"/>
        </w:rPr>
        <w:t>avancuar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pjesëmarrjen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në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nismat</w:t>
      </w:r>
      <w:proofErr w:type="spellEnd"/>
      <w:r w:rsidR="00D94869" w:rsidRPr="00273AF9">
        <w:rPr>
          <w:rFonts w:ascii="Book Antiqua" w:hAnsi="Book Antiqua" w:cs="Arial"/>
        </w:rPr>
        <w:t xml:space="preserve"> </w:t>
      </w:r>
      <w:proofErr w:type="spellStart"/>
      <w:r w:rsidR="00D94869" w:rsidRPr="00273AF9">
        <w:rPr>
          <w:rFonts w:ascii="Book Antiqua" w:hAnsi="Book Antiqua" w:cs="Arial"/>
        </w:rPr>
        <w:t>rajonale</w:t>
      </w:r>
      <w:proofErr w:type="spellEnd"/>
      <w:r w:rsidR="00D94869" w:rsidRPr="00273AF9">
        <w:rPr>
          <w:rFonts w:ascii="Book Antiqua" w:hAnsi="Book Antiqua" w:cs="Arial"/>
        </w:rPr>
        <w:t>.</w:t>
      </w:r>
    </w:p>
    <w:p w:rsidR="00D94869" w:rsidRDefault="00D94869" w:rsidP="00D94869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</w:rPr>
      </w:pPr>
    </w:p>
    <w:p w:rsidR="00270D76" w:rsidRDefault="00ED4495" w:rsidP="00D9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B409C9">
        <w:rPr>
          <w:rFonts w:ascii="Times New Roman" w:hAnsi="Times New Roman"/>
          <w:b/>
          <w:sz w:val="24"/>
          <w:szCs w:val="24"/>
        </w:rPr>
        <w:t>Detyrat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/>
          <w:sz w:val="24"/>
          <w:szCs w:val="24"/>
        </w:rPr>
        <w:t>kryesore</w:t>
      </w:r>
      <w:proofErr w:type="spellEnd"/>
      <w:r w:rsidRPr="00B409C9">
        <w:rPr>
          <w:rFonts w:ascii="Times New Roman" w:hAnsi="Times New Roman"/>
          <w:b/>
          <w:sz w:val="24"/>
          <w:szCs w:val="24"/>
        </w:rPr>
        <w:t xml:space="preserve">:  </w:t>
      </w:r>
    </w:p>
    <w:p w:rsidR="00D94869" w:rsidRDefault="00D94869" w:rsidP="00D948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C3230" w:rsidRPr="002B0F9C" w:rsidRDefault="001C3230" w:rsidP="001C3230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1.</w:t>
      </w:r>
      <w:r w:rsidRPr="002B0F9C">
        <w:rPr>
          <w:rFonts w:ascii="Book Antiqua" w:hAnsi="Book Antiqua"/>
          <w:b/>
        </w:rPr>
        <w:t xml:space="preserve"> </w:t>
      </w:r>
      <w:proofErr w:type="spellStart"/>
      <w:r w:rsidRPr="002B0F9C">
        <w:rPr>
          <w:rFonts w:ascii="Book Antiqua" w:hAnsi="Book Antiqua"/>
        </w:rPr>
        <w:t>Angazhohet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realizimin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objektivave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divizionit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përputhje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strategjinë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institucionit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kërkesat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procesit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zhvillimit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</w:t>
      </w:r>
      <w:proofErr w:type="spellEnd"/>
      <w:r w:rsidRPr="002B0F9C">
        <w:rPr>
          <w:rFonts w:ascii="Book Antiqua" w:hAnsi="Book Antiqua"/>
        </w:rPr>
        <w:t xml:space="preserve">,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harton</w:t>
      </w:r>
      <w:proofErr w:type="spellEnd"/>
      <w:r w:rsidRPr="002B0F9C">
        <w:rPr>
          <w:rFonts w:ascii="Book Antiqua" w:hAnsi="Book Antiqua"/>
        </w:rPr>
        <w:t xml:space="preserve"> plane </w:t>
      </w:r>
      <w:proofErr w:type="spellStart"/>
      <w:r w:rsidRPr="002B0F9C">
        <w:rPr>
          <w:rFonts w:ascii="Book Antiqua" w:hAnsi="Book Antiqua"/>
        </w:rPr>
        <w:t>vjetore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punës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detajuara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përmbushur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këto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objektiva</w:t>
      </w:r>
      <w:proofErr w:type="spellEnd"/>
      <w:r w:rsidRPr="002B0F9C">
        <w:rPr>
          <w:rFonts w:ascii="Book Antiqua" w:hAnsi="Book Antiqua"/>
        </w:rPr>
        <w:t xml:space="preserve">; 15% </w:t>
      </w:r>
    </w:p>
    <w:p w:rsidR="001C3230" w:rsidRPr="002B0F9C" w:rsidRDefault="001C3230" w:rsidP="001C3230">
      <w:pPr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2. </w:t>
      </w:r>
      <w:proofErr w:type="spellStart"/>
      <w:r w:rsidRPr="002B0F9C">
        <w:rPr>
          <w:rFonts w:ascii="Book Antiqua" w:hAnsi="Book Antiqua"/>
        </w:rPr>
        <w:t>Bashkërendon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punën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stafin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tjetër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divizionit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siguruar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produkte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shërbime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cilësore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lidhje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procesin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zhvillimit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</w:t>
      </w:r>
      <w:proofErr w:type="spellEnd"/>
      <w:r w:rsidRPr="002B0F9C">
        <w:rPr>
          <w:rFonts w:ascii="Book Antiqua" w:hAnsi="Book Antiqua"/>
        </w:rPr>
        <w:t>; 15%</w:t>
      </w:r>
    </w:p>
    <w:p w:rsidR="001C3230" w:rsidRPr="002B0F9C" w:rsidRDefault="001C3230" w:rsidP="001C323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3. </w:t>
      </w:r>
      <w:proofErr w:type="spellStart"/>
      <w:r w:rsidRPr="002B0F9C">
        <w:rPr>
          <w:rFonts w:ascii="Book Antiqua" w:hAnsi="Book Antiqua"/>
        </w:rPr>
        <w:t>Zhvillon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nismat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proofErr w:type="gramStart"/>
      <w:r w:rsidRPr="002B0F9C">
        <w:rPr>
          <w:rFonts w:ascii="Book Antiqua" w:hAnsi="Book Antiqua"/>
        </w:rPr>
        <w:t>sa</w:t>
      </w:r>
      <w:proofErr w:type="spellEnd"/>
      <w:proofErr w:type="gram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i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përket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zhvillimit</w:t>
      </w:r>
      <w:proofErr w:type="spellEnd"/>
      <w:r w:rsidRPr="002B0F9C">
        <w:rPr>
          <w:rFonts w:ascii="Book Antiqua" w:hAnsi="Book Antiqua"/>
        </w:rPr>
        <w:t xml:space="preserve"> socio-</w:t>
      </w:r>
      <w:proofErr w:type="spellStart"/>
      <w:r w:rsidRPr="002B0F9C">
        <w:rPr>
          <w:rFonts w:ascii="Book Antiqua" w:hAnsi="Book Antiqua"/>
        </w:rPr>
        <w:t>ekonomik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realizon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koordinimin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Ministrinë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Punëve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Jashtme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ministritë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linjës</w:t>
      </w:r>
      <w:proofErr w:type="spellEnd"/>
      <w:r w:rsidRPr="002B0F9C">
        <w:rPr>
          <w:rFonts w:ascii="Book Antiqua" w:hAnsi="Book Antiqua"/>
        </w:rPr>
        <w:t xml:space="preserve">, </w:t>
      </w:r>
      <w:proofErr w:type="spellStart"/>
      <w:r w:rsidRPr="002B0F9C">
        <w:rPr>
          <w:rFonts w:ascii="Book Antiqua" w:hAnsi="Book Antiqua"/>
        </w:rPr>
        <w:t>lidhur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këtë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fushë</w:t>
      </w:r>
      <w:proofErr w:type="spellEnd"/>
      <w:r w:rsidRPr="002B0F9C">
        <w:rPr>
          <w:rFonts w:ascii="Book Antiqua" w:hAnsi="Book Antiqua"/>
        </w:rPr>
        <w:t>; 10 %</w:t>
      </w:r>
    </w:p>
    <w:p w:rsidR="001C3230" w:rsidRPr="002B0F9C" w:rsidRDefault="001C3230" w:rsidP="001C323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4. </w:t>
      </w:r>
      <w:proofErr w:type="spellStart"/>
      <w:r w:rsidRPr="002B0F9C">
        <w:rPr>
          <w:rFonts w:ascii="Book Antiqua" w:hAnsi="Book Antiqua"/>
        </w:rPr>
        <w:t>Identifikon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koordinon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aktivitetet</w:t>
      </w:r>
      <w:proofErr w:type="spellEnd"/>
      <w:r w:rsidRPr="002B0F9C">
        <w:rPr>
          <w:rFonts w:ascii="Book Antiqua" w:hAnsi="Book Antiqua"/>
        </w:rPr>
        <w:t xml:space="preserve"> me donator</w:t>
      </w:r>
      <w:r>
        <w:rPr>
          <w:rFonts w:ascii="Book Antiqua" w:hAnsi="Book Antiqua"/>
        </w:rPr>
        <w:t>,</w:t>
      </w:r>
      <w:r w:rsidRPr="002B0F9C"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si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dhe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p</w:t>
      </w:r>
      <w:r w:rsidRPr="002B0F9C">
        <w:rPr>
          <w:rFonts w:ascii="Book Antiqua" w:hAnsi="Book Antiqua"/>
        </w:rPr>
        <w:t>lanifikon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përgatit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planin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veprimit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pj</w:t>
      </w:r>
      <w:r>
        <w:rPr>
          <w:rFonts w:ascii="Book Antiqua" w:hAnsi="Book Antiqua"/>
        </w:rPr>
        <w:t>esëmarrje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nismat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rajonale</w:t>
      </w:r>
      <w:proofErr w:type="spellEnd"/>
      <w:r>
        <w:rPr>
          <w:rFonts w:ascii="Book Antiqua" w:hAnsi="Book Antiqua"/>
        </w:rPr>
        <w:t>; 15</w:t>
      </w:r>
      <w:r w:rsidRPr="002B0F9C">
        <w:rPr>
          <w:rFonts w:ascii="Book Antiqua" w:hAnsi="Book Antiqua"/>
        </w:rPr>
        <w:t xml:space="preserve"> %</w:t>
      </w:r>
    </w:p>
    <w:p w:rsidR="001C3230" w:rsidRPr="002B0F9C" w:rsidRDefault="001C3230" w:rsidP="001C323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5.  </w:t>
      </w:r>
      <w:proofErr w:type="spellStart"/>
      <w:r w:rsidRPr="002B0F9C">
        <w:rPr>
          <w:rFonts w:ascii="Book Antiqua" w:hAnsi="Book Antiqua"/>
        </w:rPr>
        <w:t>Koordinon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aktivitetet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bashkëpunimit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ministritë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linjës</w:t>
      </w:r>
      <w:proofErr w:type="spellEnd"/>
      <w:r w:rsidRPr="002B0F9C">
        <w:rPr>
          <w:rFonts w:ascii="Book Antiqua" w:hAnsi="Book Antiqua"/>
        </w:rPr>
        <w:t xml:space="preserve">, </w:t>
      </w:r>
      <w:proofErr w:type="spellStart"/>
      <w:r w:rsidRPr="002B0F9C">
        <w:rPr>
          <w:rFonts w:ascii="Book Antiqua" w:hAnsi="Book Antiqua"/>
        </w:rPr>
        <w:t>institucionet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tjera</w:t>
      </w:r>
      <w:proofErr w:type="spellEnd"/>
      <w:r w:rsidRPr="002B0F9C">
        <w:rPr>
          <w:rFonts w:ascii="Book Antiqua" w:hAnsi="Book Antiqua"/>
        </w:rPr>
        <w:t xml:space="preserve">, </w:t>
      </w:r>
      <w:proofErr w:type="spellStart"/>
      <w:r w:rsidRPr="002B0F9C">
        <w:rPr>
          <w:rFonts w:ascii="Book Antiqua" w:hAnsi="Book Antiqua"/>
        </w:rPr>
        <w:t>si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mekanizmat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ndërkombetarë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që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veproj</w:t>
      </w:r>
      <w:r>
        <w:rPr>
          <w:rFonts w:ascii="Book Antiqua" w:hAnsi="Book Antiqua"/>
        </w:rPr>
        <w:t>në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në</w:t>
      </w:r>
      <w:proofErr w:type="spellEnd"/>
      <w:r>
        <w:rPr>
          <w:rFonts w:ascii="Book Antiqua" w:hAnsi="Book Antiqua"/>
        </w:rPr>
        <w:t xml:space="preserve"> </w:t>
      </w:r>
      <w:proofErr w:type="spellStart"/>
      <w:r>
        <w:rPr>
          <w:rFonts w:ascii="Book Antiqua" w:hAnsi="Book Antiqua"/>
        </w:rPr>
        <w:t>Republiken</w:t>
      </w:r>
      <w:proofErr w:type="spellEnd"/>
      <w:r>
        <w:rPr>
          <w:rFonts w:ascii="Book Antiqua" w:hAnsi="Book Antiqua"/>
        </w:rPr>
        <w:t xml:space="preserve"> e </w:t>
      </w:r>
      <w:proofErr w:type="spellStart"/>
      <w:r>
        <w:rPr>
          <w:rFonts w:ascii="Book Antiqua" w:hAnsi="Book Antiqua"/>
        </w:rPr>
        <w:t>Kosovës</w:t>
      </w:r>
      <w:proofErr w:type="spellEnd"/>
      <w:r>
        <w:rPr>
          <w:rFonts w:ascii="Book Antiqua" w:hAnsi="Book Antiqua"/>
        </w:rPr>
        <w:t>; 15 %</w:t>
      </w:r>
    </w:p>
    <w:p w:rsidR="001C3230" w:rsidRPr="002B0F9C" w:rsidRDefault="001C3230" w:rsidP="001C323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 xml:space="preserve">6.  </w:t>
      </w:r>
      <w:proofErr w:type="spellStart"/>
      <w:r w:rsidRPr="002B0F9C">
        <w:rPr>
          <w:rFonts w:ascii="Book Antiqua" w:hAnsi="Book Antiqua"/>
        </w:rPr>
        <w:t>Përgatit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qëndrimet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Ministrisë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pjesëmarrje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nismat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takimet</w:t>
      </w:r>
      <w:proofErr w:type="spellEnd"/>
      <w:r w:rsidRPr="002B0F9C">
        <w:rPr>
          <w:rFonts w:ascii="Book Antiqua" w:hAnsi="Book Antiqua"/>
        </w:rPr>
        <w:t xml:space="preserve"> rajonale</w:t>
      </w:r>
      <w:proofErr w:type="gramStart"/>
      <w:r w:rsidRPr="002B0F9C">
        <w:rPr>
          <w:rFonts w:ascii="Book Antiqua" w:hAnsi="Book Antiqua"/>
        </w:rPr>
        <w:t>;10</w:t>
      </w:r>
      <w:proofErr w:type="gramEnd"/>
    </w:p>
    <w:p w:rsidR="001C3230" w:rsidRPr="002B0F9C" w:rsidRDefault="001C3230" w:rsidP="001C3230">
      <w:pPr>
        <w:autoSpaceDE w:val="0"/>
        <w:autoSpaceDN w:val="0"/>
        <w:adjustRightInd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7.  </w:t>
      </w:r>
      <w:proofErr w:type="spellStart"/>
      <w:r w:rsidRPr="002B0F9C">
        <w:rPr>
          <w:rFonts w:ascii="Book Antiqua" w:hAnsi="Book Antiqua"/>
        </w:rPr>
        <w:t>Harton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Raportin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vjetor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për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Qeverinë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lidhur</w:t>
      </w:r>
      <w:proofErr w:type="spellEnd"/>
      <w:r w:rsidRPr="002B0F9C">
        <w:rPr>
          <w:rFonts w:ascii="Book Antiqua" w:hAnsi="Book Antiqua"/>
        </w:rPr>
        <w:t xml:space="preserve"> me </w:t>
      </w:r>
      <w:proofErr w:type="spellStart"/>
      <w:r w:rsidRPr="002B0F9C">
        <w:rPr>
          <w:rFonts w:ascii="Book Antiqua" w:hAnsi="Book Antiqua"/>
        </w:rPr>
        <w:t>realizimin</w:t>
      </w:r>
      <w:proofErr w:type="spellEnd"/>
      <w:r w:rsidRPr="002B0F9C">
        <w:rPr>
          <w:rFonts w:ascii="Book Antiqua" w:hAnsi="Book Antiqua"/>
        </w:rPr>
        <w:t xml:space="preserve"> e </w:t>
      </w:r>
      <w:proofErr w:type="spellStart"/>
      <w:r w:rsidRPr="002B0F9C">
        <w:rPr>
          <w:rFonts w:ascii="Book Antiqua" w:hAnsi="Book Antiqua"/>
        </w:rPr>
        <w:t>programeve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dhe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pjesëmarrjen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në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nismat</w:t>
      </w:r>
      <w:proofErr w:type="spellEnd"/>
      <w:r w:rsidRPr="002B0F9C">
        <w:rPr>
          <w:rFonts w:ascii="Book Antiqua" w:hAnsi="Book Antiqua"/>
        </w:rPr>
        <w:t xml:space="preserve"> </w:t>
      </w:r>
      <w:proofErr w:type="spellStart"/>
      <w:r w:rsidRPr="002B0F9C">
        <w:rPr>
          <w:rFonts w:ascii="Book Antiqua" w:hAnsi="Book Antiqua"/>
        </w:rPr>
        <w:t>rajonale</w:t>
      </w:r>
      <w:proofErr w:type="spellEnd"/>
      <w:r w:rsidRPr="002B0F9C">
        <w:rPr>
          <w:rFonts w:ascii="Book Antiqua" w:hAnsi="Book Antiqua"/>
        </w:rPr>
        <w:t xml:space="preserve">.  </w:t>
      </w:r>
      <w:r>
        <w:rPr>
          <w:rFonts w:ascii="Book Antiqua" w:hAnsi="Book Antiqua"/>
        </w:rPr>
        <w:t>10</w:t>
      </w:r>
      <w:r w:rsidRPr="002B0F9C">
        <w:rPr>
          <w:rFonts w:ascii="Book Antiqua" w:hAnsi="Book Antiqua"/>
        </w:rPr>
        <w:t xml:space="preserve">% </w:t>
      </w:r>
    </w:p>
    <w:p w:rsidR="001C3230" w:rsidRPr="007E0389" w:rsidRDefault="001C3230" w:rsidP="001C3230">
      <w:pPr>
        <w:pStyle w:val="Default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8. </w:t>
      </w:r>
      <w:r w:rsidRPr="002B0F9C">
        <w:rPr>
          <w:rFonts w:ascii="Book Antiqua" w:hAnsi="Book Antiqua"/>
        </w:rPr>
        <w:t xml:space="preserve">Harton raporte </w:t>
      </w:r>
      <w:r>
        <w:rPr>
          <w:rFonts w:ascii="Book Antiqua" w:hAnsi="Book Antiqua"/>
        </w:rPr>
        <w:t xml:space="preserve">sipas nevojës </w:t>
      </w:r>
      <w:r w:rsidRPr="002B0F9C">
        <w:rPr>
          <w:rFonts w:ascii="Book Antiqua" w:hAnsi="Book Antiqua"/>
        </w:rPr>
        <w:t>lidhur me zhvillimin rajonal</w:t>
      </w:r>
      <w:r>
        <w:rPr>
          <w:rFonts w:ascii="Book Antiqua" w:hAnsi="Book Antiqua"/>
        </w:rPr>
        <w:t>,</w:t>
      </w:r>
      <w:r w:rsidRPr="002B0F9C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si dhe k</w:t>
      </w:r>
      <w:r w:rsidRPr="002B0F9C">
        <w:rPr>
          <w:rFonts w:ascii="Book Antiqua" w:hAnsi="Book Antiqua"/>
        </w:rPr>
        <w:t xml:space="preserve">ryen edhe detyra tjetër në përputhje me ligjet dhe rregulloret të cilat mund të kërkohen në mënyrë të arsyeshme </w:t>
      </w:r>
      <w:r>
        <w:rPr>
          <w:rFonts w:ascii="Book Antiqua" w:hAnsi="Book Antiqua"/>
        </w:rPr>
        <w:t>kohë pas kohe nga mbikëqyrësi; 10</w:t>
      </w:r>
      <w:r w:rsidRPr="002B0F9C">
        <w:rPr>
          <w:rFonts w:ascii="Book Antiqua" w:hAnsi="Book Antiqua"/>
        </w:rPr>
        <w:t xml:space="preserve">% </w:t>
      </w:r>
    </w:p>
    <w:p w:rsidR="000A4FB9" w:rsidRPr="00583109" w:rsidRDefault="000A4FB9" w:rsidP="00583109">
      <w:pPr>
        <w:autoSpaceDE w:val="0"/>
        <w:autoSpaceDN w:val="0"/>
        <w:adjustRightInd w:val="0"/>
        <w:spacing w:after="0" w:line="240" w:lineRule="auto"/>
        <w:jc w:val="both"/>
        <w:rPr>
          <w:rFonts w:ascii="Book Antiqua" w:eastAsia="MS Mincho" w:hAnsi="Book Antiqua" w:cs="Calibri"/>
          <w:color w:val="000000"/>
          <w:sz w:val="24"/>
          <w:szCs w:val="24"/>
        </w:rPr>
      </w:pPr>
    </w:p>
    <w:p w:rsidR="00285222" w:rsidRDefault="0046274A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Kualifikimet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dhe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shkathtësitë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e </w:t>
      </w:r>
      <w:proofErr w:type="spellStart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kërkuara</w:t>
      </w:r>
      <w:proofErr w:type="spellEnd"/>
      <w:r w:rsidRPr="00B409C9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:</w:t>
      </w:r>
    </w:p>
    <w:p w:rsidR="00285222" w:rsidRPr="00B409C9" w:rsidRDefault="00285222" w:rsidP="0089539B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autoSpaceDE w:val="0"/>
        <w:autoSpaceDN w:val="0"/>
        <w:adjustRightInd w:val="0"/>
        <w:spacing w:before="120"/>
        <w:jc w:val="both"/>
        <w:rPr>
          <w:rFonts w:ascii="Book Antiqua" w:hAnsi="Book Antiqua"/>
        </w:rPr>
      </w:pPr>
      <w:r w:rsidRPr="00F01B7E">
        <w:rPr>
          <w:rFonts w:ascii="Book Antiqua" w:hAnsi="Book Antiqua" w:cs="Arial"/>
        </w:rPr>
        <w:t xml:space="preserve">Diploma universitare në lëmin e </w:t>
      </w:r>
      <w:proofErr w:type="spellStart"/>
      <w:r w:rsidRPr="00F01B7E">
        <w:rPr>
          <w:rFonts w:ascii="Book Antiqua" w:hAnsi="Book Antiqua" w:cs="Arial"/>
        </w:rPr>
        <w:t>Ekonomisë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Shkencave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Shoqërore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Juridike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Administratë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Publike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mardhënie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ndërkombëtare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apo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lëmi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ngjashme</w:t>
      </w:r>
      <w:proofErr w:type="spellEnd"/>
      <w:r w:rsidRPr="00F01B7E">
        <w:rPr>
          <w:rFonts w:ascii="Book Antiqua" w:hAnsi="Book Antiqua" w:cs="Arial"/>
        </w:rPr>
        <w:t>;</w:t>
      </w:r>
      <w:r w:rsidRPr="00F01B7E">
        <w:rPr>
          <w:rFonts w:ascii="Book Antiqua" w:hAnsi="Book Antiqua"/>
        </w:rPr>
        <w:t xml:space="preserve"> </w:t>
      </w:r>
      <w:proofErr w:type="spellStart"/>
      <w:r w:rsidRPr="00F01B7E">
        <w:rPr>
          <w:rFonts w:ascii="Book Antiqua" w:hAnsi="Book Antiqua"/>
        </w:rPr>
        <w:t>Minimumi</w:t>
      </w:r>
      <w:proofErr w:type="spellEnd"/>
      <w:r w:rsidRPr="00F01B7E">
        <w:rPr>
          <w:rFonts w:ascii="Book Antiqua" w:hAnsi="Book Antiqua"/>
        </w:rPr>
        <w:t xml:space="preserve"> 3 </w:t>
      </w:r>
      <w:proofErr w:type="spellStart"/>
      <w:r w:rsidRPr="00F01B7E">
        <w:rPr>
          <w:rFonts w:ascii="Book Antiqua" w:hAnsi="Book Antiqua"/>
        </w:rPr>
        <w:t>vite</w:t>
      </w:r>
      <w:proofErr w:type="spellEnd"/>
      <w:r w:rsidRPr="00F01B7E">
        <w:rPr>
          <w:rFonts w:ascii="Book Antiqua" w:hAnsi="Book Antiqua"/>
        </w:rPr>
        <w:t xml:space="preserve"> </w:t>
      </w:r>
      <w:proofErr w:type="spellStart"/>
      <w:r w:rsidRPr="00F01B7E">
        <w:rPr>
          <w:rFonts w:ascii="Book Antiqua" w:hAnsi="Book Antiqua"/>
        </w:rPr>
        <w:t>përvojë</w:t>
      </w:r>
      <w:proofErr w:type="spellEnd"/>
      <w:r w:rsidRPr="00F01B7E">
        <w:rPr>
          <w:rFonts w:ascii="Book Antiqua" w:hAnsi="Book Antiqua"/>
        </w:rPr>
        <w:t xml:space="preserve"> </w:t>
      </w:r>
      <w:proofErr w:type="spellStart"/>
      <w:r w:rsidRPr="00F01B7E">
        <w:rPr>
          <w:rFonts w:ascii="Book Antiqua" w:hAnsi="Book Antiqua"/>
        </w:rPr>
        <w:t>pune</w:t>
      </w:r>
      <w:proofErr w:type="spellEnd"/>
      <w:r w:rsidRPr="00F01B7E">
        <w:rPr>
          <w:rFonts w:ascii="Book Antiqua" w:hAnsi="Book Antiqua"/>
        </w:rPr>
        <w:t xml:space="preserve"> </w:t>
      </w:r>
      <w:proofErr w:type="spellStart"/>
      <w:r w:rsidRPr="00F01B7E">
        <w:rPr>
          <w:rFonts w:ascii="Book Antiqua" w:hAnsi="Book Antiqua"/>
        </w:rPr>
        <w:t>profesionale</w:t>
      </w:r>
      <w:proofErr w:type="spellEnd"/>
      <w:r w:rsidRPr="00F01B7E">
        <w:rPr>
          <w:rFonts w:ascii="Book Antiqua" w:hAnsi="Book Antiqua"/>
        </w:rPr>
        <w:t>.</w:t>
      </w:r>
      <w:r w:rsidRPr="00F01B7E">
        <w:rPr>
          <w:rFonts w:ascii="Book Antiqua" w:hAnsi="Book Antiqua" w:cs="Arial"/>
        </w:rPr>
        <w:t xml:space="preserve">  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Njohuri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përgjithshme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legjislacionit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marrëdhënieve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ndërkombëtare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financave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zhvillimit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ekonomik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dhe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njohuri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çështjeve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dhe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proceseve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bashkëpunimit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rajonal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dhe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zhvillimit</w:t>
      </w:r>
      <w:proofErr w:type="spellEnd"/>
      <w:r w:rsidRPr="00F01B7E">
        <w:rPr>
          <w:rFonts w:ascii="Book Antiqua" w:hAnsi="Book Antiqua" w:cs="Arial"/>
        </w:rPr>
        <w:t xml:space="preserve"> socio-</w:t>
      </w:r>
      <w:proofErr w:type="spellStart"/>
      <w:r w:rsidRPr="00F01B7E">
        <w:rPr>
          <w:rFonts w:ascii="Book Antiqua" w:hAnsi="Book Antiqua" w:cs="Arial"/>
        </w:rPr>
        <w:t>ekonomik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rajonal</w:t>
      </w:r>
      <w:proofErr w:type="spellEnd"/>
      <w:r w:rsidRPr="00F01B7E">
        <w:rPr>
          <w:rFonts w:ascii="Book Antiqua" w:hAnsi="Book Antiqua" w:cs="Arial"/>
        </w:rPr>
        <w:t>;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Aftësi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dëshmuara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vizionit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strategjik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aftësi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planifikuese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dhe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shkathtësi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zbatimi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planeve</w:t>
      </w:r>
      <w:proofErr w:type="spellEnd"/>
      <w:r w:rsidRPr="00F01B7E">
        <w:rPr>
          <w:rFonts w:ascii="Book Antiqua" w:hAnsi="Book Antiqua" w:cs="Arial"/>
        </w:rPr>
        <w:t xml:space="preserve">; 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Aftësi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dëshmuar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për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bërë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hulumtim</w:t>
      </w:r>
      <w:proofErr w:type="spellEnd"/>
      <w:r w:rsidRPr="00F01B7E">
        <w:rPr>
          <w:rFonts w:ascii="Book Antiqua" w:hAnsi="Book Antiqua" w:cs="Arial"/>
        </w:rPr>
        <w:t>;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Aftësi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mira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ndër-personale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dhe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mbajtja</w:t>
      </w:r>
      <w:proofErr w:type="spellEnd"/>
      <w:r w:rsidRPr="00F01B7E">
        <w:rPr>
          <w:rFonts w:ascii="Book Antiqua" w:hAnsi="Book Antiqua" w:cs="Arial"/>
        </w:rPr>
        <w:t xml:space="preserve"> e </w:t>
      </w:r>
      <w:proofErr w:type="spellStart"/>
      <w:r w:rsidRPr="00F01B7E">
        <w:rPr>
          <w:rFonts w:ascii="Book Antiqua" w:hAnsi="Book Antiqua" w:cs="Arial"/>
        </w:rPr>
        <w:t>kontakteve</w:t>
      </w:r>
      <w:proofErr w:type="spellEnd"/>
      <w:r w:rsidRPr="00F01B7E">
        <w:rPr>
          <w:rFonts w:ascii="Book Antiqua" w:hAnsi="Book Antiqua" w:cs="Arial"/>
        </w:rPr>
        <w:t xml:space="preserve"> me </w:t>
      </w:r>
      <w:proofErr w:type="spellStart"/>
      <w:r w:rsidRPr="00F01B7E">
        <w:rPr>
          <w:rFonts w:ascii="Book Antiqua" w:hAnsi="Book Antiqua" w:cs="Arial"/>
        </w:rPr>
        <w:t>personat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vendim-marrës</w:t>
      </w:r>
      <w:proofErr w:type="spellEnd"/>
      <w:r w:rsidRPr="00F01B7E">
        <w:rPr>
          <w:rFonts w:ascii="Book Antiqua" w:hAnsi="Book Antiqua" w:cs="Arial"/>
        </w:rPr>
        <w:t xml:space="preserve">;  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Shkathtësi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shkëlqyeshme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komunikimit</w:t>
      </w:r>
      <w:proofErr w:type="spellEnd"/>
      <w:r w:rsidRPr="00F01B7E">
        <w:rPr>
          <w:rFonts w:ascii="Book Antiqua" w:hAnsi="Book Antiqua" w:cs="Arial"/>
        </w:rPr>
        <w:t>;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Njohja</w:t>
      </w:r>
      <w:proofErr w:type="spellEnd"/>
      <w:r w:rsidRPr="00F01B7E">
        <w:rPr>
          <w:rFonts w:ascii="Book Antiqua" w:hAnsi="Book Antiqua" w:cs="Arial"/>
        </w:rPr>
        <w:t xml:space="preserve"> e </w:t>
      </w:r>
      <w:proofErr w:type="spellStart"/>
      <w:r w:rsidRPr="00F01B7E">
        <w:rPr>
          <w:rFonts w:ascii="Book Antiqua" w:hAnsi="Book Antiqua" w:cs="Arial"/>
        </w:rPr>
        <w:t>gjuhëve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zyrtare</w:t>
      </w:r>
      <w:proofErr w:type="spellEnd"/>
      <w:r w:rsidRPr="00F01B7E">
        <w:rPr>
          <w:rFonts w:ascii="Book Antiqua" w:hAnsi="Book Antiqua" w:cs="Arial"/>
        </w:rPr>
        <w:t>;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Preferohet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njohja</w:t>
      </w:r>
      <w:proofErr w:type="spellEnd"/>
      <w:r w:rsidRPr="00F01B7E">
        <w:rPr>
          <w:rFonts w:ascii="Book Antiqua" w:hAnsi="Book Antiqua" w:cs="Arial"/>
        </w:rPr>
        <w:t xml:space="preserve"> e </w:t>
      </w:r>
      <w:proofErr w:type="spellStart"/>
      <w:r w:rsidRPr="00F01B7E">
        <w:rPr>
          <w:rFonts w:ascii="Book Antiqua" w:hAnsi="Book Antiqua" w:cs="Arial"/>
        </w:rPr>
        <w:t>gjuhës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Angleze</w:t>
      </w:r>
      <w:proofErr w:type="spellEnd"/>
      <w:r w:rsidRPr="00F01B7E">
        <w:rPr>
          <w:rFonts w:ascii="Book Antiqua" w:hAnsi="Book Antiqua" w:cs="Arial"/>
        </w:rPr>
        <w:t xml:space="preserve">;   </w:t>
      </w:r>
    </w:p>
    <w:p w:rsidR="00F01B7E" w:rsidRPr="00F01B7E" w:rsidRDefault="00F01B7E" w:rsidP="00F01B7E">
      <w:pPr>
        <w:pStyle w:val="ListParagraph"/>
        <w:widowControl w:val="0"/>
        <w:numPr>
          <w:ilvl w:val="0"/>
          <w:numId w:val="27"/>
        </w:numPr>
        <w:tabs>
          <w:tab w:val="left" w:pos="630"/>
        </w:tabs>
        <w:autoSpaceDE w:val="0"/>
        <w:autoSpaceDN w:val="0"/>
        <w:adjustRightInd w:val="0"/>
        <w:spacing w:before="120"/>
        <w:jc w:val="both"/>
        <w:rPr>
          <w:rFonts w:ascii="Book Antiqua" w:hAnsi="Book Antiqua" w:cs="Arial"/>
        </w:rPr>
      </w:pPr>
      <w:proofErr w:type="spellStart"/>
      <w:r w:rsidRPr="00F01B7E">
        <w:rPr>
          <w:rFonts w:ascii="Book Antiqua" w:hAnsi="Book Antiqua" w:cs="Arial"/>
        </w:rPr>
        <w:t>Shkathtësi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të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punës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në</w:t>
      </w:r>
      <w:proofErr w:type="spellEnd"/>
      <w:r w:rsidRPr="00F01B7E">
        <w:rPr>
          <w:rFonts w:ascii="Book Antiqua" w:hAnsi="Book Antiqua" w:cs="Arial"/>
        </w:rPr>
        <w:t xml:space="preserve"> </w:t>
      </w:r>
      <w:proofErr w:type="spellStart"/>
      <w:r w:rsidRPr="00F01B7E">
        <w:rPr>
          <w:rFonts w:ascii="Book Antiqua" w:hAnsi="Book Antiqua" w:cs="Arial"/>
        </w:rPr>
        <w:t>kompjuter</w:t>
      </w:r>
      <w:proofErr w:type="spellEnd"/>
      <w:r w:rsidRPr="00F01B7E">
        <w:rPr>
          <w:rFonts w:ascii="Book Antiqua" w:hAnsi="Book Antiqua" w:cs="Arial"/>
        </w:rPr>
        <w:t xml:space="preserve"> (Microsoft </w:t>
      </w:r>
      <w:proofErr w:type="spellStart"/>
      <w:r w:rsidRPr="00F01B7E">
        <w:rPr>
          <w:rFonts w:ascii="Book Antiqua" w:hAnsi="Book Antiqua" w:cs="Arial"/>
        </w:rPr>
        <w:t>aplikacioneve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internetit</w:t>
      </w:r>
      <w:proofErr w:type="spellEnd"/>
      <w:r w:rsidRPr="00F01B7E">
        <w:rPr>
          <w:rFonts w:ascii="Book Antiqua" w:hAnsi="Book Antiqua" w:cs="Arial"/>
        </w:rPr>
        <w:t xml:space="preserve">, </w:t>
      </w:r>
      <w:proofErr w:type="spellStart"/>
      <w:r w:rsidRPr="00F01B7E">
        <w:rPr>
          <w:rFonts w:ascii="Book Antiqua" w:hAnsi="Book Antiqua" w:cs="Arial"/>
        </w:rPr>
        <w:t>etj</w:t>
      </w:r>
      <w:proofErr w:type="spellEnd"/>
      <w:r w:rsidRPr="00F01B7E">
        <w:rPr>
          <w:rFonts w:ascii="Book Antiqua" w:hAnsi="Book Antiqua" w:cs="Arial"/>
        </w:rPr>
        <w:t>);</w:t>
      </w: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Kushtet e pjesëmarrjes në konkurs:</w:t>
      </w:r>
    </w:p>
    <w:p w:rsidR="00234179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Të drejtë aplikimi kanë të gjithë Qytetarët e Republikës së Kosovës të moshës madhore të cilët</w:t>
      </w:r>
      <w:r w:rsidR="003B2DC7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kanë zotësi të plotë për të vepruar, janë në posedim të drejtave civile dhe politike, kanë</w:t>
      </w:r>
      <w:r w:rsidR="00056955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përgatitjen e nevojshme arsimore dhe aftësinë profesionale për kryerjen e detyrave që kërkohen</w:t>
      </w:r>
      <w:r w:rsidR="00056955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për pozitën përkatëse.</w:t>
      </w:r>
    </w:p>
    <w:p w:rsidR="006D150B" w:rsidRPr="00B409C9" w:rsidRDefault="006D150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Aktet ligjore që e rregullojnë rekrutimin:</w:t>
      </w:r>
    </w:p>
    <w:p w:rsidR="00CB34C1" w:rsidRPr="00B409C9" w:rsidRDefault="001948BF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Përzgjedhja bëhet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në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bazë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 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Ligjit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Nr. 03/L-149, 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për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Shërbimin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Civil 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të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Republikës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së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Kosovës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Pr="00B409C9">
        <w:rPr>
          <w:rFonts w:ascii="Times New Roman" w:hAnsi="Times New Roman"/>
          <w:bCs/>
          <w:color w:val="000000"/>
          <w:sz w:val="24"/>
          <w:szCs w:val="24"/>
        </w:rPr>
        <w:t>dhe</w:t>
      </w:r>
      <w:proofErr w:type="spellEnd"/>
      <w:r w:rsidRPr="00B409C9"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  <w:r w:rsidRPr="00B409C9">
        <w:rPr>
          <w:rFonts w:ascii="Times New Roman" w:hAnsi="Times New Roman"/>
          <w:noProof/>
          <w:sz w:val="24"/>
          <w:szCs w:val="24"/>
        </w:rPr>
        <w:t>Rregullores Nr.02/2010 neni 15 paragrafi 2 për Procedurat e Rekrutimit në Shërbimin Civil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.</w:t>
      </w:r>
    </w:p>
    <w:p w:rsidR="005F4E18" w:rsidRPr="00B409C9" w:rsidRDefault="005F4E18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Procedurat e konkurrimit:</w:t>
      </w:r>
    </w:p>
    <w:p w:rsidR="00234179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Procedura e konkurrimit është e hapur për kandidatët e jashtëm.</w:t>
      </w:r>
    </w:p>
    <w:p w:rsidR="00FE0114" w:rsidRPr="00B409C9" w:rsidRDefault="00FE0114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</w:p>
    <w:p w:rsidR="00CB34C1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bCs/>
          <w:sz w:val="24"/>
          <w:szCs w:val="24"/>
          <w:lang w:val="sq-AL"/>
        </w:rPr>
        <w:t>Paraqitja e kërkesave:</w:t>
      </w:r>
    </w:p>
    <w:p w:rsidR="006D150B" w:rsidRPr="00B409C9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Marrja dhe dorëzimi i aplikacioneve: Ministria e Zhvillimit Rajonal - Divizioni për Burime Njerëzore, Ndërtesa e MZHR-së në Lagjen Pejton Rr. Perandori Justinian Nr. 116, Prishtinë, ose mund të shkarkohen në ueb-faqen zyrtare të MZHR-së. Aplikacionet e dërguara me postë, të cilat mbajnë vulën postare mbi dërgesën e bërë ditën e fundit të afatit për aplikim, do të konsiderohen të vlefshme dhe do të merren në shqyrtim nëse arrijnë brenda 2 ditësh;aplikacionet që arrijnë pas këtij afati dhe aplikacionet e mangëta refuzohen.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Aplikacionit i bashkëngjiten kopjet e dokumentacionit për kualifikimin arsimor, letërnjoftimin</w:t>
      </w:r>
      <w:r w:rsidR="00F34B58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234179" w:rsidRPr="00B409C9">
        <w:rPr>
          <w:rFonts w:ascii="Times New Roman" w:eastAsiaTheme="minorHAnsi" w:hAnsi="Times New Roman"/>
          <w:sz w:val="24"/>
          <w:szCs w:val="24"/>
          <w:lang w:val="sq-AL"/>
        </w:rPr>
        <w:t>dhe dokumentacionet e tjera të nevojshme që kërkon vendi i punës, për të cilin konkurrohet.</w:t>
      </w:r>
    </w:p>
    <w:p w:rsidR="00276230" w:rsidRPr="00B409C9" w:rsidRDefault="00234179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Aplikacionet e dorëzuara nuk kthehen!Vetëm kandidatët e përzgjedhur në listën e shkurtër do të kontaktohen.</w:t>
      </w:r>
      <w:r w:rsidR="00FE0114" w:rsidRPr="00B409C9">
        <w:rPr>
          <w:rFonts w:ascii="Times New Roman" w:eastAsiaTheme="minorHAnsi" w:hAnsi="Times New Roman"/>
          <w:sz w:val="24"/>
          <w:szCs w:val="24"/>
          <w:lang w:val="sq-AL"/>
        </w:rPr>
        <w:t>MZHR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-ja mirëpret aplikacionet nga të gjithë personat e gjinisë mashkullore dhe femërore, nga</w:t>
      </w:r>
      <w:r w:rsidR="00F34B58" w:rsidRPr="00B409C9">
        <w:rPr>
          <w:rFonts w:ascii="Times New Roman" w:eastAsiaTheme="minorHAnsi" w:hAnsi="Times New Roman"/>
          <w:sz w:val="24"/>
          <w:szCs w:val="24"/>
          <w:lang w:val="sq-AL"/>
        </w:rPr>
        <w:t xml:space="preserve"> </w:t>
      </w:r>
      <w:r w:rsidR="006D150B" w:rsidRPr="00B409C9">
        <w:rPr>
          <w:rFonts w:ascii="Times New Roman" w:eastAsiaTheme="minorHAnsi" w:hAnsi="Times New Roman"/>
          <w:sz w:val="24"/>
          <w:szCs w:val="24"/>
          <w:lang w:val="sq-AL"/>
        </w:rPr>
        <w:t>të gjitha komunitetet.</w:t>
      </w:r>
    </w:p>
    <w:p w:rsidR="00677B7B" w:rsidRPr="00B409C9" w:rsidRDefault="00677B7B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</w:p>
    <w:p w:rsidR="00E655C2" w:rsidRPr="00B409C9" w:rsidRDefault="00A73534" w:rsidP="00622199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lastRenderedPageBreak/>
        <w:t xml:space="preserve">Konkursi mbetet i hapur </w:t>
      </w:r>
      <w:r w:rsidR="00A06245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15 ditë kalen</w:t>
      </w:r>
      <w:r w:rsidR="00276230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darike, nga dita e publikimit </w:t>
      </w:r>
      <w:r w:rsidR="00CE12DD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1</w:t>
      </w:r>
      <w:r w:rsidR="00B72DEF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6</w:t>
      </w:r>
      <w:r w:rsidR="00CE12DD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.07</w:t>
      </w:r>
      <w:r w:rsidR="00105490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.2019</w:t>
      </w:r>
      <w:r w:rsidR="00276230" w:rsidRPr="00B409C9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 xml:space="preserve"> deri </w:t>
      </w:r>
      <w:r w:rsidR="00B20874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30</w:t>
      </w:r>
      <w:r w:rsidR="00CE12DD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.07</w:t>
      </w:r>
      <w:r w:rsidR="00DC5EA0">
        <w:rPr>
          <w:rFonts w:ascii="Times New Roman" w:eastAsiaTheme="minorHAnsi" w:hAnsi="Times New Roman"/>
          <w:b/>
          <w:color w:val="FF0000"/>
          <w:sz w:val="24"/>
          <w:szCs w:val="24"/>
          <w:lang w:val="sq-AL"/>
        </w:rPr>
        <w:t>.2019</w:t>
      </w:r>
    </w:p>
    <w:p w:rsidR="0097538D" w:rsidRPr="00B409C9" w:rsidRDefault="0097538D" w:rsidP="008953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Për informata më të hollësishme mund ta kontaktoni Divizionin e Burimeve Njerëzore.</w:t>
      </w:r>
    </w:p>
    <w:p w:rsidR="00677B7B" w:rsidRPr="00B409C9" w:rsidRDefault="0097538D" w:rsidP="00677B7B">
      <w:pPr>
        <w:spacing w:after="0"/>
        <w:jc w:val="both"/>
        <w:rPr>
          <w:rFonts w:ascii="Times New Roman" w:eastAsiaTheme="minorHAnsi" w:hAnsi="Times New Roman"/>
          <w:sz w:val="24"/>
          <w:szCs w:val="24"/>
          <w:lang w:val="sq-AL"/>
        </w:rPr>
      </w:pPr>
      <w:r w:rsidRPr="00B409C9">
        <w:rPr>
          <w:rFonts w:ascii="Times New Roman" w:eastAsiaTheme="minorHAnsi" w:hAnsi="Times New Roman"/>
          <w:sz w:val="24"/>
          <w:szCs w:val="24"/>
          <w:lang w:val="sq-AL"/>
        </w:rPr>
        <w:t>Tel. 038 200645</w:t>
      </w:r>
      <w:r w:rsidR="00767178">
        <w:rPr>
          <w:rFonts w:ascii="Times New Roman" w:eastAsiaTheme="minorHAnsi" w:hAnsi="Times New Roman"/>
          <w:sz w:val="24"/>
          <w:szCs w:val="24"/>
          <w:lang w:val="sq-AL"/>
        </w:rPr>
        <w:t>04</w:t>
      </w:r>
      <w:r w:rsidRPr="00B409C9">
        <w:rPr>
          <w:rFonts w:ascii="Times New Roman" w:eastAsiaTheme="minorHAnsi" w:hAnsi="Times New Roman"/>
          <w:sz w:val="24"/>
          <w:szCs w:val="24"/>
          <w:lang w:val="sq-AL"/>
        </w:rPr>
        <w:t>, prej orës 8:00 – 16:00.</w:t>
      </w:r>
    </w:p>
    <w:p w:rsidR="00A06245" w:rsidRPr="009D24C2" w:rsidRDefault="00B20874" w:rsidP="00677B7B">
      <w:pPr>
        <w:spacing w:after="0"/>
        <w:jc w:val="both"/>
        <w:rPr>
          <w:rFonts w:ascii="Book Antiqua" w:eastAsiaTheme="minorHAnsi" w:hAnsi="Book Antiqua"/>
          <w:lang w:val="sq-AL"/>
        </w:rPr>
      </w:pPr>
      <w:hyperlink r:id="rId7" w:history="1">
        <w:r w:rsidR="00A06245" w:rsidRPr="009D24C2">
          <w:rPr>
            <w:rStyle w:val="Hyperlink"/>
            <w:rFonts w:ascii="Book Antiqua" w:eastAsiaTheme="minorHAnsi" w:hAnsi="Book Antiqua"/>
            <w:lang w:val="sq-AL"/>
          </w:rPr>
          <w:t>www.mzhr.rks-gov.net</w:t>
        </w:r>
      </w:hyperlink>
    </w:p>
    <w:p w:rsidR="00A06245" w:rsidRPr="0089539B" w:rsidRDefault="00A06245" w:rsidP="0089539B">
      <w:pPr>
        <w:jc w:val="both"/>
        <w:rPr>
          <w:sz w:val="24"/>
          <w:szCs w:val="24"/>
        </w:rPr>
      </w:pPr>
      <w:bookmarkStart w:id="0" w:name="_GoBack"/>
      <w:bookmarkEnd w:id="0"/>
    </w:p>
    <w:sectPr w:rsidR="00A06245" w:rsidRPr="0089539B" w:rsidSect="00765E4E">
      <w:pgSz w:w="12240" w:h="15840"/>
      <w:pgMar w:top="54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C257C"/>
    <w:multiLevelType w:val="hybridMultilevel"/>
    <w:tmpl w:val="803E3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A430B"/>
    <w:multiLevelType w:val="hybridMultilevel"/>
    <w:tmpl w:val="5122F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4C110D"/>
    <w:multiLevelType w:val="hybridMultilevel"/>
    <w:tmpl w:val="8A36C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1F769E"/>
    <w:multiLevelType w:val="hybridMultilevel"/>
    <w:tmpl w:val="C12A12A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F5326BC"/>
    <w:multiLevelType w:val="hybridMultilevel"/>
    <w:tmpl w:val="795E74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0387A61"/>
    <w:multiLevelType w:val="hybridMultilevel"/>
    <w:tmpl w:val="79123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77272F"/>
    <w:multiLevelType w:val="hybridMultilevel"/>
    <w:tmpl w:val="CAA6F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1B3556"/>
    <w:multiLevelType w:val="hybridMultilevel"/>
    <w:tmpl w:val="9FE247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69771B5"/>
    <w:multiLevelType w:val="hybridMultilevel"/>
    <w:tmpl w:val="7026E4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5D3723"/>
    <w:multiLevelType w:val="hybridMultilevel"/>
    <w:tmpl w:val="36C46C74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822A18"/>
    <w:multiLevelType w:val="hybridMultilevel"/>
    <w:tmpl w:val="0CD0C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C65BA2"/>
    <w:multiLevelType w:val="hybridMultilevel"/>
    <w:tmpl w:val="2286E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F17FDC"/>
    <w:multiLevelType w:val="hybridMultilevel"/>
    <w:tmpl w:val="E702DA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0DD646D"/>
    <w:multiLevelType w:val="hybridMultilevel"/>
    <w:tmpl w:val="D63A29DE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BF348D8"/>
    <w:multiLevelType w:val="hybridMultilevel"/>
    <w:tmpl w:val="049887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F9639F3"/>
    <w:multiLevelType w:val="multilevel"/>
    <w:tmpl w:val="99D4C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8755C9"/>
    <w:multiLevelType w:val="hybridMultilevel"/>
    <w:tmpl w:val="9A9AA0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CF0B7E"/>
    <w:multiLevelType w:val="hybridMultilevel"/>
    <w:tmpl w:val="274A87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06700"/>
    <w:multiLevelType w:val="hybridMultilevel"/>
    <w:tmpl w:val="53565E3C"/>
    <w:lvl w:ilvl="0" w:tplc="E9FE56F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5B63F5"/>
    <w:multiLevelType w:val="hybridMultilevel"/>
    <w:tmpl w:val="E1EEF16E"/>
    <w:lvl w:ilvl="0" w:tplc="E9FE56F4">
      <w:numFmt w:val="bullet"/>
      <w:lvlText w:val="-"/>
      <w:lvlJc w:val="left"/>
      <w:pPr>
        <w:ind w:left="360" w:hanging="360"/>
      </w:pPr>
      <w:rPr>
        <w:rFonts w:ascii="Book Antiqua" w:eastAsia="Times New Roman" w:hAnsi="Book Antiqu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4A06980"/>
    <w:multiLevelType w:val="hybridMultilevel"/>
    <w:tmpl w:val="56E03C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25E82"/>
    <w:multiLevelType w:val="hybridMultilevel"/>
    <w:tmpl w:val="D7F205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DCD723F"/>
    <w:multiLevelType w:val="hybridMultilevel"/>
    <w:tmpl w:val="6F2C8E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FCA3EFE"/>
    <w:multiLevelType w:val="hybridMultilevel"/>
    <w:tmpl w:val="CF8480BE"/>
    <w:lvl w:ilvl="0" w:tplc="D9508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0"/>
  </w:num>
  <w:num w:numId="4">
    <w:abstractNumId w:val="5"/>
  </w:num>
  <w:num w:numId="5">
    <w:abstractNumId w:val="21"/>
  </w:num>
  <w:num w:numId="6">
    <w:abstractNumId w:val="19"/>
  </w:num>
  <w:num w:numId="7">
    <w:abstractNumId w:val="0"/>
  </w:num>
  <w:num w:numId="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7"/>
  </w:num>
  <w:num w:numId="10">
    <w:abstractNumId w:val="4"/>
  </w:num>
  <w:num w:numId="11">
    <w:abstractNumId w:val="3"/>
  </w:num>
  <w:num w:numId="12">
    <w:abstractNumId w:val="13"/>
  </w:num>
  <w:num w:numId="13">
    <w:abstractNumId w:val="15"/>
  </w:num>
  <w:num w:numId="14">
    <w:abstractNumId w:val="16"/>
  </w:num>
  <w:num w:numId="15">
    <w:abstractNumId w:val="18"/>
  </w:num>
  <w:num w:numId="16">
    <w:abstractNumId w:val="23"/>
  </w:num>
  <w:num w:numId="17">
    <w:abstractNumId w:val="8"/>
  </w:num>
  <w:num w:numId="18">
    <w:abstractNumId w:val="24"/>
  </w:num>
  <w:num w:numId="19">
    <w:abstractNumId w:val="7"/>
  </w:num>
  <w:num w:numId="20">
    <w:abstractNumId w:val="6"/>
  </w:num>
  <w:num w:numId="21">
    <w:abstractNumId w:val="2"/>
  </w:num>
  <w:num w:numId="22">
    <w:abstractNumId w:val="25"/>
  </w:num>
  <w:num w:numId="23">
    <w:abstractNumId w:val="11"/>
  </w:num>
  <w:num w:numId="24">
    <w:abstractNumId w:val="14"/>
  </w:num>
  <w:num w:numId="25">
    <w:abstractNumId w:val="9"/>
  </w:num>
  <w:num w:numId="26">
    <w:abstractNumId w:val="22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79"/>
    <w:rsid w:val="00021299"/>
    <w:rsid w:val="00025294"/>
    <w:rsid w:val="00056955"/>
    <w:rsid w:val="00065E2A"/>
    <w:rsid w:val="0007012D"/>
    <w:rsid w:val="00092077"/>
    <w:rsid w:val="000A4FB9"/>
    <w:rsid w:val="000D7657"/>
    <w:rsid w:val="000E3CB2"/>
    <w:rsid w:val="000F15F7"/>
    <w:rsid w:val="001046DB"/>
    <w:rsid w:val="00105490"/>
    <w:rsid w:val="00113736"/>
    <w:rsid w:val="00155A2A"/>
    <w:rsid w:val="00155B22"/>
    <w:rsid w:val="00162CAD"/>
    <w:rsid w:val="001948BF"/>
    <w:rsid w:val="0019512D"/>
    <w:rsid w:val="001A3412"/>
    <w:rsid w:val="001C1FF1"/>
    <w:rsid w:val="001C28EE"/>
    <w:rsid w:val="001C3230"/>
    <w:rsid w:val="001D17C8"/>
    <w:rsid w:val="001F09B3"/>
    <w:rsid w:val="00202401"/>
    <w:rsid w:val="0021317F"/>
    <w:rsid w:val="0022483B"/>
    <w:rsid w:val="002252E5"/>
    <w:rsid w:val="00234179"/>
    <w:rsid w:val="00235F10"/>
    <w:rsid w:val="00246353"/>
    <w:rsid w:val="002520F9"/>
    <w:rsid w:val="00270D76"/>
    <w:rsid w:val="00273AF9"/>
    <w:rsid w:val="00276230"/>
    <w:rsid w:val="00277CFF"/>
    <w:rsid w:val="00285222"/>
    <w:rsid w:val="002934B8"/>
    <w:rsid w:val="002B0A28"/>
    <w:rsid w:val="002C1152"/>
    <w:rsid w:val="002D71FE"/>
    <w:rsid w:val="002F5A24"/>
    <w:rsid w:val="002F5C8F"/>
    <w:rsid w:val="00312200"/>
    <w:rsid w:val="0034402B"/>
    <w:rsid w:val="00397D23"/>
    <w:rsid w:val="003A12AC"/>
    <w:rsid w:val="003B2DC7"/>
    <w:rsid w:val="003B5CFC"/>
    <w:rsid w:val="003C32B0"/>
    <w:rsid w:val="003D12E1"/>
    <w:rsid w:val="003D4C19"/>
    <w:rsid w:val="0041776C"/>
    <w:rsid w:val="00436871"/>
    <w:rsid w:val="0046274A"/>
    <w:rsid w:val="004B484C"/>
    <w:rsid w:val="004F068F"/>
    <w:rsid w:val="005110E4"/>
    <w:rsid w:val="00533684"/>
    <w:rsid w:val="00535C81"/>
    <w:rsid w:val="00543F93"/>
    <w:rsid w:val="0054496E"/>
    <w:rsid w:val="0056277C"/>
    <w:rsid w:val="00583109"/>
    <w:rsid w:val="005C04D4"/>
    <w:rsid w:val="005C6F9E"/>
    <w:rsid w:val="005D335A"/>
    <w:rsid w:val="005D4F02"/>
    <w:rsid w:val="005E40DD"/>
    <w:rsid w:val="005F4E18"/>
    <w:rsid w:val="00622199"/>
    <w:rsid w:val="006311D6"/>
    <w:rsid w:val="006358FA"/>
    <w:rsid w:val="006574FB"/>
    <w:rsid w:val="00677B7B"/>
    <w:rsid w:val="00680813"/>
    <w:rsid w:val="00692CE8"/>
    <w:rsid w:val="00696814"/>
    <w:rsid w:val="006B1480"/>
    <w:rsid w:val="006D150B"/>
    <w:rsid w:val="007011F3"/>
    <w:rsid w:val="00767178"/>
    <w:rsid w:val="00767531"/>
    <w:rsid w:val="007821FF"/>
    <w:rsid w:val="007A1BBF"/>
    <w:rsid w:val="008041CF"/>
    <w:rsid w:val="00806593"/>
    <w:rsid w:val="0080705C"/>
    <w:rsid w:val="00813094"/>
    <w:rsid w:val="008327F2"/>
    <w:rsid w:val="0084605D"/>
    <w:rsid w:val="00852AEB"/>
    <w:rsid w:val="008834A7"/>
    <w:rsid w:val="00884B41"/>
    <w:rsid w:val="0089539B"/>
    <w:rsid w:val="008C08DF"/>
    <w:rsid w:val="008C2EEA"/>
    <w:rsid w:val="00916466"/>
    <w:rsid w:val="00932B57"/>
    <w:rsid w:val="00934D83"/>
    <w:rsid w:val="00935E8D"/>
    <w:rsid w:val="00945589"/>
    <w:rsid w:val="00947EBF"/>
    <w:rsid w:val="00950371"/>
    <w:rsid w:val="0097538D"/>
    <w:rsid w:val="00984C41"/>
    <w:rsid w:val="009A0D89"/>
    <w:rsid w:val="009D24C2"/>
    <w:rsid w:val="009D56DE"/>
    <w:rsid w:val="009F1E2C"/>
    <w:rsid w:val="00A03917"/>
    <w:rsid w:val="00A03D18"/>
    <w:rsid w:val="00A04E02"/>
    <w:rsid w:val="00A06245"/>
    <w:rsid w:val="00A124EE"/>
    <w:rsid w:val="00A1719D"/>
    <w:rsid w:val="00A171F3"/>
    <w:rsid w:val="00A17276"/>
    <w:rsid w:val="00A620BF"/>
    <w:rsid w:val="00A73534"/>
    <w:rsid w:val="00A744EA"/>
    <w:rsid w:val="00A93B90"/>
    <w:rsid w:val="00AC20BA"/>
    <w:rsid w:val="00AE4C5D"/>
    <w:rsid w:val="00B01C60"/>
    <w:rsid w:val="00B11C46"/>
    <w:rsid w:val="00B20874"/>
    <w:rsid w:val="00B409C9"/>
    <w:rsid w:val="00B72DEF"/>
    <w:rsid w:val="00B7713E"/>
    <w:rsid w:val="00B82EF0"/>
    <w:rsid w:val="00B91B20"/>
    <w:rsid w:val="00BD4213"/>
    <w:rsid w:val="00BE7377"/>
    <w:rsid w:val="00C225AC"/>
    <w:rsid w:val="00C23CF4"/>
    <w:rsid w:val="00C34F81"/>
    <w:rsid w:val="00C459B5"/>
    <w:rsid w:val="00C4765D"/>
    <w:rsid w:val="00C81156"/>
    <w:rsid w:val="00C821F6"/>
    <w:rsid w:val="00C90BA3"/>
    <w:rsid w:val="00CA28DB"/>
    <w:rsid w:val="00CA7ABB"/>
    <w:rsid w:val="00CB34C1"/>
    <w:rsid w:val="00CD51E8"/>
    <w:rsid w:val="00CE12DD"/>
    <w:rsid w:val="00CE3148"/>
    <w:rsid w:val="00CF3F7E"/>
    <w:rsid w:val="00D0724D"/>
    <w:rsid w:val="00D31C95"/>
    <w:rsid w:val="00D4159A"/>
    <w:rsid w:val="00D674E5"/>
    <w:rsid w:val="00D867B2"/>
    <w:rsid w:val="00D94869"/>
    <w:rsid w:val="00D95CB0"/>
    <w:rsid w:val="00DA33A2"/>
    <w:rsid w:val="00DC5EA0"/>
    <w:rsid w:val="00DD192C"/>
    <w:rsid w:val="00DD3100"/>
    <w:rsid w:val="00DE392C"/>
    <w:rsid w:val="00E021C9"/>
    <w:rsid w:val="00E2522B"/>
    <w:rsid w:val="00E3492D"/>
    <w:rsid w:val="00E57AB4"/>
    <w:rsid w:val="00E655C2"/>
    <w:rsid w:val="00E92130"/>
    <w:rsid w:val="00EB3BC5"/>
    <w:rsid w:val="00EB7FD2"/>
    <w:rsid w:val="00EC3455"/>
    <w:rsid w:val="00ED3372"/>
    <w:rsid w:val="00ED4495"/>
    <w:rsid w:val="00EE2A21"/>
    <w:rsid w:val="00EE56A6"/>
    <w:rsid w:val="00F0138D"/>
    <w:rsid w:val="00F01B7E"/>
    <w:rsid w:val="00F23825"/>
    <w:rsid w:val="00F32B2A"/>
    <w:rsid w:val="00F34B58"/>
    <w:rsid w:val="00F37414"/>
    <w:rsid w:val="00F37EBF"/>
    <w:rsid w:val="00F53C56"/>
    <w:rsid w:val="00F7517B"/>
    <w:rsid w:val="00F76B22"/>
    <w:rsid w:val="00F813D2"/>
    <w:rsid w:val="00FC03A4"/>
    <w:rsid w:val="00FE0114"/>
    <w:rsid w:val="00FE3561"/>
    <w:rsid w:val="00FF7B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7801AC-9852-49B2-96A0-F2E5C914D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17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34179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234179"/>
    <w:pPr>
      <w:ind w:left="720"/>
      <w:contextualSpacing/>
    </w:pPr>
  </w:style>
  <w:style w:type="table" w:styleId="TableGrid">
    <w:name w:val="Table Grid"/>
    <w:basedOn w:val="TableNormal"/>
    <w:uiPriority w:val="39"/>
    <w:rsid w:val="00234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6358F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06245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7A1BBF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zhr.rks-gov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B5092-4548-44FC-B82C-11D140B37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786</Words>
  <Characters>4485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Blerim Hasani</dc:creator>
  <cp:lastModifiedBy>Emine Hoti</cp:lastModifiedBy>
  <cp:revision>20</cp:revision>
  <dcterms:created xsi:type="dcterms:W3CDTF">2019-07-05T13:12:00Z</dcterms:created>
  <dcterms:modified xsi:type="dcterms:W3CDTF">2019-07-15T06:08:00Z</dcterms:modified>
</cp:coreProperties>
</file>