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AD15" w14:textId="77777777" w:rsidR="00F11A5C" w:rsidRPr="008D4D83" w:rsidRDefault="00040EDF" w:rsidP="00F11A5C">
      <w:pPr>
        <w:ind w:left="-720" w:right="-720"/>
        <w:jc w:val="center"/>
        <w:rPr>
          <w:rFonts w:cs="Calibri"/>
          <w:sz w:val="24"/>
          <w:szCs w:val="24"/>
        </w:rPr>
      </w:pPr>
      <w:r w:rsidRPr="008D4D83">
        <w:rPr>
          <w:rFonts w:cs="Calibri"/>
          <w:noProof/>
          <w:sz w:val="24"/>
          <w:szCs w:val="24"/>
          <w:lang w:val="en-US"/>
        </w:rPr>
        <w:drawing>
          <wp:inline distT="0" distB="0" distL="0" distR="0" wp14:anchorId="6487E308" wp14:editId="4C1D9E7F">
            <wp:extent cx="1152525" cy="1133475"/>
            <wp:effectExtent l="0" t="0" r="9525" b="9525"/>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srcRect/>
                    <a:stretch>
                      <a:fillRect/>
                    </a:stretch>
                  </pic:blipFill>
                  <pic:spPr bwMode="auto">
                    <a:xfrm>
                      <a:off x="0" y="0"/>
                      <a:ext cx="1152525" cy="1133475"/>
                    </a:xfrm>
                    <a:prstGeom prst="rect">
                      <a:avLst/>
                    </a:prstGeom>
                    <a:noFill/>
                    <a:ln w="9525">
                      <a:noFill/>
                      <a:miter lim="800000"/>
                      <a:headEnd/>
                      <a:tailEnd/>
                    </a:ln>
                  </pic:spPr>
                </pic:pic>
              </a:graphicData>
            </a:graphic>
          </wp:inline>
        </w:drawing>
      </w:r>
    </w:p>
    <w:p w14:paraId="5A7AC788" w14:textId="77777777" w:rsidR="00FF4418" w:rsidRPr="008D4D83" w:rsidRDefault="00FF4418" w:rsidP="00E213B5">
      <w:pPr>
        <w:spacing w:after="0" w:line="240" w:lineRule="auto"/>
        <w:jc w:val="center"/>
        <w:rPr>
          <w:rFonts w:cs="Calibri"/>
          <w:sz w:val="24"/>
          <w:szCs w:val="24"/>
        </w:rPr>
      </w:pPr>
      <w:r w:rsidRPr="008D4D83">
        <w:rPr>
          <w:rFonts w:eastAsia="Book Antiqua" w:cs="Calibri"/>
          <w:b/>
          <w:sz w:val="24"/>
          <w:szCs w:val="24"/>
        </w:rPr>
        <w:t>Republika e Kosovës</w:t>
      </w:r>
    </w:p>
    <w:p w14:paraId="3345A27F" w14:textId="77777777" w:rsidR="00FF4418" w:rsidRPr="008D4D83" w:rsidRDefault="00FF4418" w:rsidP="00E213B5">
      <w:pPr>
        <w:spacing w:after="0" w:line="240" w:lineRule="auto"/>
        <w:jc w:val="center"/>
        <w:rPr>
          <w:rFonts w:cs="Calibri"/>
          <w:sz w:val="24"/>
          <w:szCs w:val="24"/>
        </w:rPr>
      </w:pPr>
      <w:r w:rsidRPr="008D4D83">
        <w:rPr>
          <w:rFonts w:cs="Calibri"/>
          <w:b/>
          <w:sz w:val="24"/>
          <w:szCs w:val="24"/>
        </w:rPr>
        <w:t>Republika Kosova-Republic of Kosovo</w:t>
      </w:r>
    </w:p>
    <w:p w14:paraId="11779FCE" w14:textId="77777777" w:rsidR="00FF4418" w:rsidRPr="008D4D83" w:rsidRDefault="00FF4418" w:rsidP="00E213B5">
      <w:pPr>
        <w:spacing w:after="0" w:line="240" w:lineRule="auto"/>
        <w:ind w:left="10" w:right="-15"/>
        <w:jc w:val="center"/>
        <w:rPr>
          <w:rFonts w:cs="Calibri"/>
          <w:b/>
          <w:sz w:val="24"/>
          <w:szCs w:val="24"/>
        </w:rPr>
      </w:pPr>
      <w:r w:rsidRPr="008D4D83">
        <w:rPr>
          <w:rFonts w:eastAsia="Book Antiqua" w:cs="Calibri"/>
          <w:b/>
          <w:i/>
          <w:sz w:val="24"/>
          <w:szCs w:val="24"/>
        </w:rPr>
        <w:t>Qeveria - Vlada – Government</w:t>
      </w:r>
    </w:p>
    <w:p w14:paraId="353A681F" w14:textId="77777777" w:rsidR="00E213B5" w:rsidRPr="008D4D83" w:rsidRDefault="00FF4418" w:rsidP="00E213B5">
      <w:pPr>
        <w:spacing w:after="0" w:line="240" w:lineRule="auto"/>
        <w:ind w:right="195"/>
        <w:jc w:val="center"/>
        <w:rPr>
          <w:rFonts w:eastAsia="Book Antiqua" w:cs="Calibri"/>
          <w:i/>
          <w:sz w:val="24"/>
          <w:szCs w:val="24"/>
        </w:rPr>
      </w:pPr>
      <w:r w:rsidRPr="008D4D83">
        <w:rPr>
          <w:rFonts w:eastAsia="Book Antiqua" w:cs="Calibri"/>
          <w:i/>
          <w:sz w:val="24"/>
          <w:szCs w:val="24"/>
        </w:rPr>
        <w:t xml:space="preserve">Ministria e Zhvillimit Rajonal </w:t>
      </w:r>
    </w:p>
    <w:p w14:paraId="1CB92F47" w14:textId="77777777" w:rsidR="00FF4418" w:rsidRPr="008D4D83" w:rsidRDefault="00FF4418" w:rsidP="00E213B5">
      <w:pPr>
        <w:spacing w:after="0" w:line="240" w:lineRule="auto"/>
        <w:ind w:right="195"/>
        <w:jc w:val="center"/>
        <w:rPr>
          <w:rFonts w:cs="Calibri"/>
          <w:sz w:val="24"/>
          <w:szCs w:val="24"/>
        </w:rPr>
      </w:pPr>
      <w:r w:rsidRPr="008D4D83">
        <w:rPr>
          <w:rFonts w:eastAsia="Book Antiqua" w:cs="Calibri"/>
          <w:i/>
          <w:sz w:val="24"/>
          <w:szCs w:val="24"/>
        </w:rPr>
        <w:t>Ministarstvo za Regionalni Razvoj</w:t>
      </w:r>
    </w:p>
    <w:p w14:paraId="07576B3F" w14:textId="77777777" w:rsidR="00F11A5C" w:rsidRPr="008D4D83" w:rsidRDefault="00FF4418" w:rsidP="00B23F38">
      <w:pPr>
        <w:jc w:val="center"/>
        <w:rPr>
          <w:rFonts w:cs="Calibri"/>
          <w:i/>
          <w:iCs/>
          <w:sz w:val="24"/>
          <w:szCs w:val="24"/>
        </w:rPr>
      </w:pPr>
      <w:r w:rsidRPr="008D4D83">
        <w:rPr>
          <w:rFonts w:cs="Calibri"/>
          <w:i/>
          <w:iCs/>
          <w:sz w:val="24"/>
          <w:szCs w:val="24"/>
        </w:rPr>
        <w:t>Ministry of Regional Development</w:t>
      </w:r>
    </w:p>
    <w:p w14:paraId="3FBA090F" w14:textId="77777777" w:rsidR="00F11A5C" w:rsidRPr="008D4D83" w:rsidRDefault="00E213B5" w:rsidP="00B23F38">
      <w:pPr>
        <w:jc w:val="center"/>
        <w:rPr>
          <w:rFonts w:cs="Calibri"/>
        </w:rPr>
      </w:pPr>
      <w:r w:rsidRPr="008D4D83">
        <w:rPr>
          <w:rFonts w:cs="Calibri"/>
        </w:rPr>
        <w:t>___________________________________________________________________________</w:t>
      </w:r>
    </w:p>
    <w:p w14:paraId="337C2B1A" w14:textId="77777777" w:rsidR="008B1CF0" w:rsidRDefault="008B1CF0" w:rsidP="008B1CF0">
      <w:pPr>
        <w:jc w:val="center"/>
        <w:rPr>
          <w:rFonts w:cs="Calibri"/>
          <w:b/>
          <w:sz w:val="24"/>
          <w:szCs w:val="24"/>
        </w:rPr>
      </w:pPr>
    </w:p>
    <w:p w14:paraId="1856D89E" w14:textId="77777777" w:rsidR="008B1CF0" w:rsidRDefault="008B1CF0" w:rsidP="008B1CF0">
      <w:pPr>
        <w:jc w:val="center"/>
        <w:rPr>
          <w:rFonts w:cs="Calibri"/>
          <w:b/>
          <w:sz w:val="24"/>
          <w:szCs w:val="24"/>
        </w:rPr>
      </w:pPr>
    </w:p>
    <w:p w14:paraId="42ED5146" w14:textId="77777777" w:rsidR="008B1CF0" w:rsidRDefault="008B1CF0" w:rsidP="008B1CF0">
      <w:pPr>
        <w:jc w:val="center"/>
        <w:rPr>
          <w:rFonts w:cs="Calibri"/>
          <w:b/>
          <w:sz w:val="24"/>
          <w:szCs w:val="24"/>
        </w:rPr>
      </w:pPr>
    </w:p>
    <w:p w14:paraId="1B49A979" w14:textId="77777777" w:rsidR="008B1CF0" w:rsidRDefault="008B1CF0" w:rsidP="008B1CF0">
      <w:pPr>
        <w:jc w:val="center"/>
        <w:rPr>
          <w:rFonts w:cs="Calibri"/>
          <w:b/>
          <w:sz w:val="24"/>
          <w:szCs w:val="24"/>
        </w:rPr>
      </w:pPr>
    </w:p>
    <w:p w14:paraId="6E6FA728" w14:textId="77777777" w:rsidR="008B1CF0" w:rsidRDefault="008B1CF0" w:rsidP="008B1CF0">
      <w:pPr>
        <w:jc w:val="center"/>
        <w:rPr>
          <w:rFonts w:cs="Calibri"/>
          <w:b/>
          <w:sz w:val="24"/>
          <w:szCs w:val="24"/>
        </w:rPr>
      </w:pPr>
    </w:p>
    <w:p w14:paraId="595631D1" w14:textId="73F739C1" w:rsidR="008B1CF0" w:rsidRPr="008B1CF0" w:rsidRDefault="008B1CF0" w:rsidP="008B1CF0">
      <w:pPr>
        <w:jc w:val="center"/>
        <w:rPr>
          <w:rFonts w:cs="Calibri"/>
          <w:b/>
          <w:sz w:val="32"/>
          <w:szCs w:val="32"/>
        </w:rPr>
      </w:pPr>
      <w:r w:rsidRPr="008B1CF0">
        <w:rPr>
          <w:rFonts w:cs="Calibri"/>
          <w:b/>
          <w:sz w:val="32"/>
          <w:szCs w:val="32"/>
        </w:rPr>
        <w:t>SMERNICE ZA PODNOSIOCE</w:t>
      </w:r>
    </w:p>
    <w:p w14:paraId="5AC20607" w14:textId="77777777" w:rsidR="008B1CF0" w:rsidRPr="008B1CF0" w:rsidRDefault="008B1CF0" w:rsidP="008B1CF0">
      <w:pPr>
        <w:jc w:val="center"/>
        <w:rPr>
          <w:rFonts w:cs="Calibri"/>
          <w:b/>
          <w:sz w:val="24"/>
          <w:szCs w:val="24"/>
        </w:rPr>
      </w:pPr>
    </w:p>
    <w:p w14:paraId="606E11FC" w14:textId="7B2C2E8F" w:rsidR="008B1CF0" w:rsidRPr="008B1CF0" w:rsidRDefault="008B1CF0" w:rsidP="008B1CF0">
      <w:pPr>
        <w:jc w:val="center"/>
        <w:rPr>
          <w:rFonts w:cs="Calibri"/>
          <w:b/>
          <w:sz w:val="24"/>
          <w:szCs w:val="24"/>
        </w:rPr>
      </w:pPr>
      <w:r w:rsidRPr="008B1CF0">
        <w:rPr>
          <w:rFonts w:cs="Calibri"/>
          <w:b/>
          <w:sz w:val="24"/>
          <w:szCs w:val="24"/>
        </w:rPr>
        <w:t>PROGRAM REGIONALNOG RAZVOJA 202</w:t>
      </w:r>
      <w:r w:rsidR="00C27F3D">
        <w:rPr>
          <w:rFonts w:cs="Calibri"/>
          <w:b/>
          <w:sz w:val="24"/>
          <w:szCs w:val="24"/>
        </w:rPr>
        <w:t>4</w:t>
      </w:r>
    </w:p>
    <w:p w14:paraId="57637D31" w14:textId="79B4C969" w:rsidR="00261507" w:rsidRPr="008D4D83" w:rsidRDefault="008B1CF0" w:rsidP="008B1CF0">
      <w:pPr>
        <w:jc w:val="center"/>
        <w:rPr>
          <w:rFonts w:cs="Calibri"/>
          <w:b/>
          <w:sz w:val="24"/>
          <w:szCs w:val="24"/>
        </w:rPr>
      </w:pPr>
      <w:r w:rsidRPr="008B1CF0">
        <w:rPr>
          <w:rFonts w:cs="Calibri"/>
          <w:b/>
          <w:sz w:val="24"/>
          <w:szCs w:val="24"/>
        </w:rPr>
        <w:t>(PROJEKTI KAPITALNIH INVESTICIJA)</w:t>
      </w:r>
    </w:p>
    <w:p w14:paraId="42F0E538" w14:textId="77777777" w:rsidR="00F11A5C" w:rsidRPr="008D4D83" w:rsidRDefault="00F11A5C" w:rsidP="0079644E">
      <w:pPr>
        <w:outlineLvl w:val="0"/>
        <w:rPr>
          <w:rFonts w:cs="Calibri"/>
          <w:b/>
          <w:sz w:val="24"/>
          <w:szCs w:val="24"/>
        </w:rPr>
      </w:pPr>
    </w:p>
    <w:p w14:paraId="2E965F73" w14:textId="77777777" w:rsidR="00261507" w:rsidRPr="008D4D83" w:rsidRDefault="00F11A5C" w:rsidP="006E4F98">
      <w:pPr>
        <w:jc w:val="center"/>
        <w:outlineLvl w:val="0"/>
        <w:rPr>
          <w:rFonts w:cs="Calibri"/>
          <w:b/>
          <w:sz w:val="24"/>
          <w:szCs w:val="24"/>
        </w:rPr>
      </w:pPr>
      <w:r w:rsidRPr="008D4D83">
        <w:rPr>
          <w:rFonts w:cs="Calibri"/>
          <w:b/>
          <w:sz w:val="24"/>
          <w:szCs w:val="24"/>
        </w:rPr>
        <w:t xml:space="preserve">  </w:t>
      </w:r>
    </w:p>
    <w:p w14:paraId="59D88AE7" w14:textId="77777777" w:rsidR="006E4F98" w:rsidRPr="008D4D83" w:rsidRDefault="006E4F98" w:rsidP="0079644E">
      <w:pPr>
        <w:outlineLvl w:val="0"/>
        <w:rPr>
          <w:rFonts w:cs="Calibri"/>
          <w:b/>
          <w:sz w:val="24"/>
          <w:szCs w:val="24"/>
        </w:rPr>
      </w:pPr>
    </w:p>
    <w:p w14:paraId="6355AEBC" w14:textId="77777777" w:rsidR="006E4F98" w:rsidRPr="008D4D83" w:rsidRDefault="006E4F98" w:rsidP="006E4F98">
      <w:pPr>
        <w:jc w:val="center"/>
        <w:outlineLvl w:val="0"/>
        <w:rPr>
          <w:rFonts w:cs="Calibri"/>
          <w:b/>
          <w:sz w:val="24"/>
          <w:szCs w:val="24"/>
        </w:rPr>
      </w:pPr>
    </w:p>
    <w:p w14:paraId="1556852B" w14:textId="35697698" w:rsidR="006E4F98" w:rsidRPr="00CE1EED" w:rsidRDefault="00CE1EED" w:rsidP="00B23F38">
      <w:pPr>
        <w:jc w:val="center"/>
        <w:rPr>
          <w:rFonts w:cs="Calibri"/>
          <w:b/>
          <w:bCs/>
          <w:color w:val="0070C0"/>
          <w:lang w:val="bs-Latn-BA"/>
        </w:rPr>
      </w:pPr>
      <w:r>
        <w:rPr>
          <w:rFonts w:cs="Calibri"/>
          <w:b/>
          <w:bCs/>
          <w:color w:val="0070C0"/>
        </w:rPr>
        <w:t>PRIŠTINA</w:t>
      </w:r>
    </w:p>
    <w:p w14:paraId="333F7367" w14:textId="34F1278F" w:rsidR="00647257" w:rsidRPr="008D4D83" w:rsidRDefault="00CE1EED" w:rsidP="00E07313">
      <w:pPr>
        <w:jc w:val="center"/>
        <w:rPr>
          <w:rFonts w:cs="Calibri"/>
          <w:b/>
          <w:bCs/>
          <w:color w:val="0070C0"/>
        </w:rPr>
      </w:pPr>
      <w:r>
        <w:rPr>
          <w:rFonts w:cs="Calibri"/>
          <w:b/>
          <w:bCs/>
          <w:color w:val="0070C0"/>
        </w:rPr>
        <w:t>Avgust</w:t>
      </w:r>
      <w:r w:rsidR="000B1E63" w:rsidRPr="008D4D83">
        <w:rPr>
          <w:rFonts w:cs="Calibri"/>
          <w:b/>
          <w:bCs/>
          <w:color w:val="0070C0"/>
        </w:rPr>
        <w:t xml:space="preserve">, </w:t>
      </w:r>
      <w:r w:rsidR="00B72723" w:rsidRPr="008D4D83">
        <w:rPr>
          <w:rFonts w:cs="Calibri"/>
          <w:b/>
          <w:bCs/>
          <w:color w:val="0070C0"/>
        </w:rPr>
        <w:t>202</w:t>
      </w:r>
      <w:r w:rsidR="00C27F3D">
        <w:rPr>
          <w:rFonts w:cs="Calibri"/>
          <w:b/>
          <w:bCs/>
          <w:color w:val="0070C0"/>
        </w:rPr>
        <w:t>3</w:t>
      </w:r>
    </w:p>
    <w:p w14:paraId="243AF369" w14:textId="77777777" w:rsidR="007D299A" w:rsidRPr="008D4D83" w:rsidRDefault="007D299A" w:rsidP="005649A3">
      <w:pPr>
        <w:jc w:val="center"/>
        <w:rPr>
          <w:rFonts w:cs="Calibri"/>
          <w:b/>
          <w:sz w:val="24"/>
          <w:szCs w:val="24"/>
        </w:rPr>
      </w:pPr>
    </w:p>
    <w:p w14:paraId="0498D771" w14:textId="77777777" w:rsidR="00D16AA5" w:rsidRPr="008D4D83" w:rsidRDefault="00D16AA5" w:rsidP="00F837DA">
      <w:pPr>
        <w:spacing w:line="360" w:lineRule="auto"/>
        <w:jc w:val="center"/>
        <w:outlineLvl w:val="0"/>
        <w:rPr>
          <w:rFonts w:cs="Calibri"/>
          <w:b/>
          <w:sz w:val="24"/>
          <w:szCs w:val="24"/>
        </w:rPr>
      </w:pPr>
    </w:p>
    <w:sdt>
      <w:sdtPr>
        <w:rPr>
          <w:rFonts w:ascii="Calibri" w:eastAsia="MS Mincho" w:hAnsi="Calibri" w:cs="Calibri"/>
          <w:color w:val="auto"/>
          <w:sz w:val="24"/>
          <w:szCs w:val="24"/>
          <w:lang w:val="sq-AL"/>
        </w:rPr>
        <w:id w:val="-401524883"/>
        <w:docPartObj>
          <w:docPartGallery w:val="Table of Contents"/>
          <w:docPartUnique/>
        </w:docPartObj>
      </w:sdtPr>
      <w:sdtEndPr>
        <w:rPr>
          <w:b/>
          <w:bCs/>
          <w:noProof/>
        </w:rPr>
      </w:sdtEndPr>
      <w:sdtContent>
        <w:p w14:paraId="56C49069" w14:textId="3A1DED38" w:rsidR="00A35932" w:rsidRDefault="00CE1EED" w:rsidP="00CE1EED">
          <w:pPr>
            <w:pStyle w:val="TOCHeading"/>
            <w:rPr>
              <w:rFonts w:ascii="Calibri" w:hAnsi="Calibri" w:cs="Calibri"/>
              <w:color w:val="0070C0"/>
              <w:sz w:val="24"/>
              <w:szCs w:val="24"/>
            </w:rPr>
          </w:pPr>
          <w:r w:rsidRPr="00CE1EED">
            <w:rPr>
              <w:rFonts w:ascii="Calibri" w:hAnsi="Calibri" w:cs="Calibri"/>
              <w:color w:val="0070C0"/>
              <w:sz w:val="24"/>
              <w:szCs w:val="24"/>
            </w:rPr>
            <w:t>SADRŽAJ</w:t>
          </w:r>
        </w:p>
        <w:p w14:paraId="6B9F8D62" w14:textId="77777777" w:rsidR="00CE1EED" w:rsidRPr="00CE1EED" w:rsidRDefault="00CE1EED" w:rsidP="00CE1EED">
          <w:pPr>
            <w:rPr>
              <w:lang w:val="en-US"/>
            </w:rPr>
          </w:pPr>
        </w:p>
        <w:p w14:paraId="47B28145" w14:textId="6230D90A" w:rsidR="00610A38" w:rsidRDefault="00167577">
          <w:pPr>
            <w:pStyle w:val="TOC1"/>
            <w:tabs>
              <w:tab w:val="right" w:leader="dot" w:pos="9016"/>
            </w:tabs>
            <w:rPr>
              <w:rFonts w:asciiTheme="minorHAnsi" w:eastAsiaTheme="minorEastAsia" w:hAnsiTheme="minorHAnsi" w:cstheme="minorBidi"/>
              <w:noProof/>
              <w:kern w:val="2"/>
              <w:lang w:val="en-US"/>
              <w14:ligatures w14:val="standardContextual"/>
            </w:rPr>
          </w:pPr>
          <w:r w:rsidRPr="00736FC1">
            <w:rPr>
              <w:rFonts w:cs="Calibri"/>
              <w:color w:val="0070C0"/>
              <w:sz w:val="24"/>
              <w:szCs w:val="24"/>
            </w:rPr>
            <w:fldChar w:fldCharType="begin"/>
          </w:r>
          <w:r w:rsidRPr="00736FC1">
            <w:rPr>
              <w:rFonts w:cs="Calibri"/>
              <w:color w:val="0070C0"/>
              <w:sz w:val="24"/>
              <w:szCs w:val="24"/>
            </w:rPr>
            <w:instrText xml:space="preserve"> TOC \o "1-3" \h \z \u </w:instrText>
          </w:r>
          <w:r w:rsidRPr="00736FC1">
            <w:rPr>
              <w:rFonts w:cs="Calibri"/>
              <w:color w:val="0070C0"/>
              <w:sz w:val="24"/>
              <w:szCs w:val="24"/>
            </w:rPr>
            <w:fldChar w:fldCharType="separate"/>
          </w:r>
          <w:hyperlink w:anchor="_Toc143090823" w:history="1">
            <w:r w:rsidR="00610A38" w:rsidRPr="00E54159">
              <w:rPr>
                <w:rStyle w:val="Hyperlink"/>
                <w:rFonts w:cs="Calibri"/>
                <w:noProof/>
              </w:rPr>
              <w:t>UVOD</w:t>
            </w:r>
            <w:r w:rsidR="00610A38">
              <w:rPr>
                <w:noProof/>
                <w:webHidden/>
              </w:rPr>
              <w:tab/>
            </w:r>
            <w:r w:rsidR="00610A38">
              <w:rPr>
                <w:noProof/>
                <w:webHidden/>
              </w:rPr>
              <w:fldChar w:fldCharType="begin"/>
            </w:r>
            <w:r w:rsidR="00610A38">
              <w:rPr>
                <w:noProof/>
                <w:webHidden/>
              </w:rPr>
              <w:instrText xml:space="preserve"> PAGEREF _Toc143090823 \h </w:instrText>
            </w:r>
            <w:r w:rsidR="00610A38">
              <w:rPr>
                <w:noProof/>
                <w:webHidden/>
              </w:rPr>
            </w:r>
            <w:r w:rsidR="00610A38">
              <w:rPr>
                <w:noProof/>
                <w:webHidden/>
              </w:rPr>
              <w:fldChar w:fldCharType="separate"/>
            </w:r>
            <w:r w:rsidR="001D089A">
              <w:rPr>
                <w:noProof/>
                <w:webHidden/>
              </w:rPr>
              <w:t>3</w:t>
            </w:r>
            <w:r w:rsidR="00610A38">
              <w:rPr>
                <w:noProof/>
                <w:webHidden/>
              </w:rPr>
              <w:fldChar w:fldCharType="end"/>
            </w:r>
          </w:hyperlink>
        </w:p>
        <w:p w14:paraId="261618D9" w14:textId="20B022E8"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24" w:history="1">
            <w:r w:rsidR="00610A38" w:rsidRPr="00E54159">
              <w:rPr>
                <w:rStyle w:val="Hyperlink"/>
                <w:rFonts w:cs="Calibri"/>
                <w:noProof/>
              </w:rPr>
              <w:t>CILJEVI PROGRAMA</w:t>
            </w:r>
            <w:r w:rsidR="00610A38">
              <w:rPr>
                <w:noProof/>
                <w:webHidden/>
              </w:rPr>
              <w:tab/>
            </w:r>
            <w:r w:rsidR="00610A38">
              <w:rPr>
                <w:noProof/>
                <w:webHidden/>
              </w:rPr>
              <w:fldChar w:fldCharType="begin"/>
            </w:r>
            <w:r w:rsidR="00610A38">
              <w:rPr>
                <w:noProof/>
                <w:webHidden/>
              </w:rPr>
              <w:instrText xml:space="preserve"> PAGEREF _Toc143090824 \h </w:instrText>
            </w:r>
            <w:r w:rsidR="00610A38">
              <w:rPr>
                <w:noProof/>
                <w:webHidden/>
              </w:rPr>
            </w:r>
            <w:r w:rsidR="00610A38">
              <w:rPr>
                <w:noProof/>
                <w:webHidden/>
              </w:rPr>
              <w:fldChar w:fldCharType="separate"/>
            </w:r>
            <w:r w:rsidR="001D089A">
              <w:rPr>
                <w:noProof/>
                <w:webHidden/>
              </w:rPr>
              <w:t>3</w:t>
            </w:r>
            <w:r w:rsidR="00610A38">
              <w:rPr>
                <w:noProof/>
                <w:webHidden/>
              </w:rPr>
              <w:fldChar w:fldCharType="end"/>
            </w:r>
          </w:hyperlink>
        </w:p>
        <w:p w14:paraId="38C3FC13" w14:textId="1AC6F683"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25" w:history="1">
            <w:r w:rsidR="00610A38" w:rsidRPr="00E54159">
              <w:rPr>
                <w:rStyle w:val="Hyperlink"/>
                <w:noProof/>
              </w:rPr>
              <w:t>SPECIFIČNI REZULTATI</w:t>
            </w:r>
            <w:r w:rsidR="00610A38">
              <w:rPr>
                <w:noProof/>
                <w:webHidden/>
              </w:rPr>
              <w:tab/>
            </w:r>
            <w:r w:rsidR="00610A38">
              <w:rPr>
                <w:noProof/>
                <w:webHidden/>
              </w:rPr>
              <w:fldChar w:fldCharType="begin"/>
            </w:r>
            <w:r w:rsidR="00610A38">
              <w:rPr>
                <w:noProof/>
                <w:webHidden/>
              </w:rPr>
              <w:instrText xml:space="preserve"> PAGEREF _Toc143090825 \h </w:instrText>
            </w:r>
            <w:r w:rsidR="00610A38">
              <w:rPr>
                <w:noProof/>
                <w:webHidden/>
              </w:rPr>
            </w:r>
            <w:r w:rsidR="00610A38">
              <w:rPr>
                <w:noProof/>
                <w:webHidden/>
              </w:rPr>
              <w:fldChar w:fldCharType="separate"/>
            </w:r>
            <w:r w:rsidR="001D089A">
              <w:rPr>
                <w:noProof/>
                <w:webHidden/>
              </w:rPr>
              <w:t>4</w:t>
            </w:r>
            <w:r w:rsidR="00610A38">
              <w:rPr>
                <w:noProof/>
                <w:webHidden/>
              </w:rPr>
              <w:fldChar w:fldCharType="end"/>
            </w:r>
          </w:hyperlink>
        </w:p>
        <w:p w14:paraId="51AA2411" w14:textId="35726E29"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26" w:history="1">
            <w:r w:rsidR="00610A38" w:rsidRPr="00E54159">
              <w:rPr>
                <w:rStyle w:val="Hyperlink"/>
                <w:noProof/>
              </w:rPr>
              <w:t>VRSTE AKTIVNOSTI</w:t>
            </w:r>
            <w:r w:rsidR="00610A38">
              <w:rPr>
                <w:noProof/>
                <w:webHidden/>
              </w:rPr>
              <w:tab/>
            </w:r>
            <w:r w:rsidR="00610A38">
              <w:rPr>
                <w:noProof/>
                <w:webHidden/>
              </w:rPr>
              <w:fldChar w:fldCharType="begin"/>
            </w:r>
            <w:r w:rsidR="00610A38">
              <w:rPr>
                <w:noProof/>
                <w:webHidden/>
              </w:rPr>
              <w:instrText xml:space="preserve"> PAGEREF _Toc143090826 \h </w:instrText>
            </w:r>
            <w:r w:rsidR="00610A38">
              <w:rPr>
                <w:noProof/>
                <w:webHidden/>
              </w:rPr>
            </w:r>
            <w:r w:rsidR="00610A38">
              <w:rPr>
                <w:noProof/>
                <w:webHidden/>
              </w:rPr>
              <w:fldChar w:fldCharType="separate"/>
            </w:r>
            <w:r w:rsidR="001D089A">
              <w:rPr>
                <w:noProof/>
                <w:webHidden/>
              </w:rPr>
              <w:t>5</w:t>
            </w:r>
            <w:r w:rsidR="00610A38">
              <w:rPr>
                <w:noProof/>
                <w:webHidden/>
              </w:rPr>
              <w:fldChar w:fldCharType="end"/>
            </w:r>
          </w:hyperlink>
        </w:p>
        <w:p w14:paraId="07367EBD" w14:textId="45397455"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27" w:history="1">
            <w:r w:rsidR="00610A38" w:rsidRPr="00E54159">
              <w:rPr>
                <w:rStyle w:val="Hyperlink"/>
                <w:noProof/>
              </w:rPr>
              <w:t>VREDNOST PROJEKATA SA KOJIMA SE OPŠTINE PRIJAVLJAJU</w:t>
            </w:r>
            <w:r w:rsidR="00610A38">
              <w:rPr>
                <w:noProof/>
                <w:webHidden/>
              </w:rPr>
              <w:tab/>
            </w:r>
            <w:r w:rsidR="00610A38">
              <w:rPr>
                <w:noProof/>
                <w:webHidden/>
              </w:rPr>
              <w:fldChar w:fldCharType="begin"/>
            </w:r>
            <w:r w:rsidR="00610A38">
              <w:rPr>
                <w:noProof/>
                <w:webHidden/>
              </w:rPr>
              <w:instrText xml:space="preserve"> PAGEREF _Toc143090827 \h </w:instrText>
            </w:r>
            <w:r w:rsidR="00610A38">
              <w:rPr>
                <w:noProof/>
                <w:webHidden/>
              </w:rPr>
            </w:r>
            <w:r w:rsidR="00610A38">
              <w:rPr>
                <w:noProof/>
                <w:webHidden/>
              </w:rPr>
              <w:fldChar w:fldCharType="separate"/>
            </w:r>
            <w:r w:rsidR="001D089A">
              <w:rPr>
                <w:noProof/>
                <w:webHidden/>
              </w:rPr>
              <w:t>5</w:t>
            </w:r>
            <w:r w:rsidR="00610A38">
              <w:rPr>
                <w:noProof/>
                <w:webHidden/>
              </w:rPr>
              <w:fldChar w:fldCharType="end"/>
            </w:r>
          </w:hyperlink>
        </w:p>
        <w:p w14:paraId="50A8D4FA" w14:textId="11DC7D7C"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28" w:history="1">
            <w:r w:rsidR="00610A38" w:rsidRPr="00E54159">
              <w:rPr>
                <w:rStyle w:val="Hyperlink"/>
                <w:noProof/>
              </w:rPr>
              <w:t>KRITERIJUMI</w:t>
            </w:r>
            <w:r w:rsidR="00610A38">
              <w:rPr>
                <w:noProof/>
                <w:webHidden/>
              </w:rPr>
              <w:tab/>
            </w:r>
            <w:r w:rsidR="00610A38">
              <w:rPr>
                <w:noProof/>
                <w:webHidden/>
              </w:rPr>
              <w:fldChar w:fldCharType="begin"/>
            </w:r>
            <w:r w:rsidR="00610A38">
              <w:rPr>
                <w:noProof/>
                <w:webHidden/>
              </w:rPr>
              <w:instrText xml:space="preserve"> PAGEREF _Toc143090828 \h </w:instrText>
            </w:r>
            <w:r w:rsidR="00610A38">
              <w:rPr>
                <w:noProof/>
                <w:webHidden/>
              </w:rPr>
            </w:r>
            <w:r w:rsidR="00610A38">
              <w:rPr>
                <w:noProof/>
                <w:webHidden/>
              </w:rPr>
              <w:fldChar w:fldCharType="separate"/>
            </w:r>
            <w:r w:rsidR="001D089A">
              <w:rPr>
                <w:noProof/>
                <w:webHidden/>
              </w:rPr>
              <w:t>6</w:t>
            </w:r>
            <w:r w:rsidR="00610A38">
              <w:rPr>
                <w:noProof/>
                <w:webHidden/>
              </w:rPr>
              <w:fldChar w:fldCharType="end"/>
            </w:r>
          </w:hyperlink>
        </w:p>
        <w:p w14:paraId="77FF5D20" w14:textId="2E1076C6"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29" w:history="1">
            <w:r w:rsidR="00610A38" w:rsidRPr="00E54159">
              <w:rPr>
                <w:rStyle w:val="Hyperlink"/>
                <w:rFonts w:cs="Calibri"/>
                <w:noProof/>
              </w:rPr>
              <w:t>KAKO SE PRIJAVITI</w:t>
            </w:r>
            <w:r w:rsidR="00610A38">
              <w:rPr>
                <w:noProof/>
                <w:webHidden/>
              </w:rPr>
              <w:tab/>
            </w:r>
            <w:r w:rsidR="00610A38">
              <w:rPr>
                <w:noProof/>
                <w:webHidden/>
              </w:rPr>
              <w:fldChar w:fldCharType="begin"/>
            </w:r>
            <w:r w:rsidR="00610A38">
              <w:rPr>
                <w:noProof/>
                <w:webHidden/>
              </w:rPr>
              <w:instrText xml:space="preserve"> PAGEREF _Toc143090829 \h </w:instrText>
            </w:r>
            <w:r w:rsidR="00610A38">
              <w:rPr>
                <w:noProof/>
                <w:webHidden/>
              </w:rPr>
            </w:r>
            <w:r w:rsidR="00610A38">
              <w:rPr>
                <w:noProof/>
                <w:webHidden/>
              </w:rPr>
              <w:fldChar w:fldCharType="separate"/>
            </w:r>
            <w:r w:rsidR="001D089A">
              <w:rPr>
                <w:noProof/>
                <w:webHidden/>
              </w:rPr>
              <w:t>7</w:t>
            </w:r>
            <w:r w:rsidR="00610A38">
              <w:rPr>
                <w:noProof/>
                <w:webHidden/>
              </w:rPr>
              <w:fldChar w:fldCharType="end"/>
            </w:r>
          </w:hyperlink>
        </w:p>
        <w:p w14:paraId="1AA47A75" w14:textId="2112A008"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0" w:history="1">
            <w:r w:rsidR="00610A38" w:rsidRPr="00E54159">
              <w:rPr>
                <w:rStyle w:val="Hyperlink"/>
                <w:noProof/>
              </w:rPr>
              <w:t>OCENA PROJEKTA</w:t>
            </w:r>
            <w:r w:rsidR="00610A38">
              <w:rPr>
                <w:noProof/>
                <w:webHidden/>
              </w:rPr>
              <w:tab/>
            </w:r>
            <w:r w:rsidR="00610A38">
              <w:rPr>
                <w:noProof/>
                <w:webHidden/>
              </w:rPr>
              <w:fldChar w:fldCharType="begin"/>
            </w:r>
            <w:r w:rsidR="00610A38">
              <w:rPr>
                <w:noProof/>
                <w:webHidden/>
              </w:rPr>
              <w:instrText xml:space="preserve"> PAGEREF _Toc143090830 \h </w:instrText>
            </w:r>
            <w:r w:rsidR="00610A38">
              <w:rPr>
                <w:noProof/>
                <w:webHidden/>
              </w:rPr>
            </w:r>
            <w:r w:rsidR="00610A38">
              <w:rPr>
                <w:noProof/>
                <w:webHidden/>
              </w:rPr>
              <w:fldChar w:fldCharType="separate"/>
            </w:r>
            <w:r w:rsidR="001D089A">
              <w:rPr>
                <w:noProof/>
                <w:webHidden/>
              </w:rPr>
              <w:t>8</w:t>
            </w:r>
            <w:r w:rsidR="00610A38">
              <w:rPr>
                <w:noProof/>
                <w:webHidden/>
              </w:rPr>
              <w:fldChar w:fldCharType="end"/>
            </w:r>
          </w:hyperlink>
        </w:p>
        <w:p w14:paraId="32FA8849" w14:textId="19087863"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1" w:history="1">
            <w:r w:rsidR="00610A38" w:rsidRPr="00E54159">
              <w:rPr>
                <w:rStyle w:val="Hyperlink"/>
                <w:rFonts w:cs="Calibri"/>
                <w:noProof/>
              </w:rPr>
              <w:t>PRIHVATLJIVI USLOVI</w:t>
            </w:r>
            <w:r w:rsidR="00610A38">
              <w:rPr>
                <w:noProof/>
                <w:webHidden/>
              </w:rPr>
              <w:tab/>
            </w:r>
            <w:r w:rsidR="00610A38">
              <w:rPr>
                <w:noProof/>
                <w:webHidden/>
              </w:rPr>
              <w:fldChar w:fldCharType="begin"/>
            </w:r>
            <w:r w:rsidR="00610A38">
              <w:rPr>
                <w:noProof/>
                <w:webHidden/>
              </w:rPr>
              <w:instrText xml:space="preserve"> PAGEREF _Toc143090831 \h </w:instrText>
            </w:r>
            <w:r w:rsidR="00610A38">
              <w:rPr>
                <w:noProof/>
                <w:webHidden/>
              </w:rPr>
            </w:r>
            <w:r w:rsidR="00610A38">
              <w:rPr>
                <w:noProof/>
                <w:webHidden/>
              </w:rPr>
              <w:fldChar w:fldCharType="separate"/>
            </w:r>
            <w:r w:rsidR="001D089A">
              <w:rPr>
                <w:noProof/>
                <w:webHidden/>
              </w:rPr>
              <w:t>8</w:t>
            </w:r>
            <w:r w:rsidR="00610A38">
              <w:rPr>
                <w:noProof/>
                <w:webHidden/>
              </w:rPr>
              <w:fldChar w:fldCharType="end"/>
            </w:r>
          </w:hyperlink>
        </w:p>
        <w:p w14:paraId="504B31AF" w14:textId="7A8D5F67"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2" w:history="1">
            <w:r w:rsidR="00610A38" w:rsidRPr="00E54159">
              <w:rPr>
                <w:rStyle w:val="Hyperlink"/>
                <w:noProof/>
              </w:rPr>
              <w:t>ULOGA REGIONALNIH RAZVOJNIH AGENCIJA</w:t>
            </w:r>
            <w:r w:rsidR="00610A38">
              <w:rPr>
                <w:noProof/>
                <w:webHidden/>
              </w:rPr>
              <w:tab/>
            </w:r>
            <w:r w:rsidR="00610A38">
              <w:rPr>
                <w:noProof/>
                <w:webHidden/>
              </w:rPr>
              <w:fldChar w:fldCharType="begin"/>
            </w:r>
            <w:r w:rsidR="00610A38">
              <w:rPr>
                <w:noProof/>
                <w:webHidden/>
              </w:rPr>
              <w:instrText xml:space="preserve"> PAGEREF _Toc143090832 \h </w:instrText>
            </w:r>
            <w:r w:rsidR="00610A38">
              <w:rPr>
                <w:noProof/>
                <w:webHidden/>
              </w:rPr>
            </w:r>
            <w:r w:rsidR="00610A38">
              <w:rPr>
                <w:noProof/>
                <w:webHidden/>
              </w:rPr>
              <w:fldChar w:fldCharType="separate"/>
            </w:r>
            <w:r w:rsidR="001D089A">
              <w:rPr>
                <w:noProof/>
                <w:webHidden/>
              </w:rPr>
              <w:t>9</w:t>
            </w:r>
            <w:r w:rsidR="00610A38">
              <w:rPr>
                <w:noProof/>
                <w:webHidden/>
              </w:rPr>
              <w:fldChar w:fldCharType="end"/>
            </w:r>
          </w:hyperlink>
        </w:p>
        <w:p w14:paraId="6FBDE641" w14:textId="228EF81E"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3" w:history="1">
            <w:r w:rsidR="00610A38" w:rsidRPr="00E54159">
              <w:rPr>
                <w:rStyle w:val="Hyperlink"/>
                <w:noProof/>
              </w:rPr>
              <w:t>PROCEDURE IMPLEMENTACIJE</w:t>
            </w:r>
            <w:r w:rsidR="00610A38">
              <w:rPr>
                <w:noProof/>
                <w:webHidden/>
              </w:rPr>
              <w:tab/>
            </w:r>
            <w:r w:rsidR="00610A38">
              <w:rPr>
                <w:noProof/>
                <w:webHidden/>
              </w:rPr>
              <w:fldChar w:fldCharType="begin"/>
            </w:r>
            <w:r w:rsidR="00610A38">
              <w:rPr>
                <w:noProof/>
                <w:webHidden/>
              </w:rPr>
              <w:instrText xml:space="preserve"> PAGEREF _Toc143090833 \h </w:instrText>
            </w:r>
            <w:r w:rsidR="00610A38">
              <w:rPr>
                <w:noProof/>
                <w:webHidden/>
              </w:rPr>
            </w:r>
            <w:r w:rsidR="00610A38">
              <w:rPr>
                <w:noProof/>
                <w:webHidden/>
              </w:rPr>
              <w:fldChar w:fldCharType="separate"/>
            </w:r>
            <w:r w:rsidR="001D089A">
              <w:rPr>
                <w:noProof/>
                <w:webHidden/>
              </w:rPr>
              <w:t>9</w:t>
            </w:r>
            <w:r w:rsidR="00610A38">
              <w:rPr>
                <w:noProof/>
                <w:webHidden/>
              </w:rPr>
              <w:fldChar w:fldCharType="end"/>
            </w:r>
          </w:hyperlink>
        </w:p>
        <w:p w14:paraId="63374A17" w14:textId="3A4C3AEE"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4" w:history="1">
            <w:r w:rsidR="00610A38" w:rsidRPr="00E54159">
              <w:rPr>
                <w:rStyle w:val="Hyperlink"/>
                <w:noProof/>
              </w:rPr>
              <w:t>POSTUPCI NABAVKE</w:t>
            </w:r>
            <w:r w:rsidR="00610A38">
              <w:rPr>
                <w:noProof/>
                <w:webHidden/>
              </w:rPr>
              <w:tab/>
            </w:r>
            <w:r w:rsidR="00610A38">
              <w:rPr>
                <w:noProof/>
                <w:webHidden/>
              </w:rPr>
              <w:fldChar w:fldCharType="begin"/>
            </w:r>
            <w:r w:rsidR="00610A38">
              <w:rPr>
                <w:noProof/>
                <w:webHidden/>
              </w:rPr>
              <w:instrText xml:space="preserve"> PAGEREF _Toc143090834 \h </w:instrText>
            </w:r>
            <w:r w:rsidR="00610A38">
              <w:rPr>
                <w:noProof/>
                <w:webHidden/>
              </w:rPr>
            </w:r>
            <w:r w:rsidR="00610A38">
              <w:rPr>
                <w:noProof/>
                <w:webHidden/>
              </w:rPr>
              <w:fldChar w:fldCharType="separate"/>
            </w:r>
            <w:r w:rsidR="001D089A">
              <w:rPr>
                <w:noProof/>
                <w:webHidden/>
              </w:rPr>
              <w:t>9</w:t>
            </w:r>
            <w:r w:rsidR="00610A38">
              <w:rPr>
                <w:noProof/>
                <w:webHidden/>
              </w:rPr>
              <w:fldChar w:fldCharType="end"/>
            </w:r>
          </w:hyperlink>
        </w:p>
        <w:p w14:paraId="5B224592" w14:textId="7EEB1CF2"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5" w:history="1">
            <w:r w:rsidR="00610A38" w:rsidRPr="00E54159">
              <w:rPr>
                <w:rStyle w:val="Hyperlink"/>
                <w:noProof/>
              </w:rPr>
              <w:t>PRAĆENJE I IZVEŠTAVANJE</w:t>
            </w:r>
            <w:r w:rsidR="00610A38">
              <w:rPr>
                <w:noProof/>
                <w:webHidden/>
              </w:rPr>
              <w:tab/>
            </w:r>
            <w:r w:rsidR="00610A38">
              <w:rPr>
                <w:noProof/>
                <w:webHidden/>
              </w:rPr>
              <w:fldChar w:fldCharType="begin"/>
            </w:r>
            <w:r w:rsidR="00610A38">
              <w:rPr>
                <w:noProof/>
                <w:webHidden/>
              </w:rPr>
              <w:instrText xml:space="preserve"> PAGEREF _Toc143090835 \h </w:instrText>
            </w:r>
            <w:r w:rsidR="00610A38">
              <w:rPr>
                <w:noProof/>
                <w:webHidden/>
              </w:rPr>
            </w:r>
            <w:r w:rsidR="00610A38">
              <w:rPr>
                <w:noProof/>
                <w:webHidden/>
              </w:rPr>
              <w:fldChar w:fldCharType="separate"/>
            </w:r>
            <w:r w:rsidR="001D089A">
              <w:rPr>
                <w:noProof/>
                <w:webHidden/>
              </w:rPr>
              <w:t>9</w:t>
            </w:r>
            <w:r w:rsidR="00610A38">
              <w:rPr>
                <w:noProof/>
                <w:webHidden/>
              </w:rPr>
              <w:fldChar w:fldCharType="end"/>
            </w:r>
          </w:hyperlink>
        </w:p>
        <w:p w14:paraId="4CD3DD7C" w14:textId="6C22CBBF" w:rsidR="00610A38" w:rsidRDefault="00000000">
          <w:pPr>
            <w:pStyle w:val="TOC1"/>
            <w:tabs>
              <w:tab w:val="right" w:leader="dot" w:pos="9016"/>
            </w:tabs>
            <w:rPr>
              <w:rFonts w:asciiTheme="minorHAnsi" w:eastAsiaTheme="minorEastAsia" w:hAnsiTheme="minorHAnsi" w:cstheme="minorBidi"/>
              <w:noProof/>
              <w:kern w:val="2"/>
              <w:lang w:val="en-US"/>
              <w14:ligatures w14:val="standardContextual"/>
            </w:rPr>
          </w:pPr>
          <w:hyperlink w:anchor="_Toc143090836" w:history="1">
            <w:r w:rsidR="00610A38" w:rsidRPr="00E54159">
              <w:rPr>
                <w:rStyle w:val="Hyperlink"/>
                <w:noProof/>
              </w:rPr>
              <w:t>KONTINUIRANO PLAĆANJE ZA UGOVORENE EKONOMSKI OPERATOR</w:t>
            </w:r>
            <w:r w:rsidR="00610A38">
              <w:rPr>
                <w:noProof/>
                <w:webHidden/>
              </w:rPr>
              <w:tab/>
            </w:r>
            <w:r w:rsidR="00610A38">
              <w:rPr>
                <w:noProof/>
                <w:webHidden/>
              </w:rPr>
              <w:fldChar w:fldCharType="begin"/>
            </w:r>
            <w:r w:rsidR="00610A38">
              <w:rPr>
                <w:noProof/>
                <w:webHidden/>
              </w:rPr>
              <w:instrText xml:space="preserve"> PAGEREF _Toc143090836 \h </w:instrText>
            </w:r>
            <w:r w:rsidR="00610A38">
              <w:rPr>
                <w:noProof/>
                <w:webHidden/>
              </w:rPr>
            </w:r>
            <w:r w:rsidR="00610A38">
              <w:rPr>
                <w:noProof/>
                <w:webHidden/>
              </w:rPr>
              <w:fldChar w:fldCharType="separate"/>
            </w:r>
            <w:r w:rsidR="001D089A">
              <w:rPr>
                <w:noProof/>
                <w:webHidden/>
              </w:rPr>
              <w:t>10</w:t>
            </w:r>
            <w:r w:rsidR="00610A38">
              <w:rPr>
                <w:noProof/>
                <w:webHidden/>
              </w:rPr>
              <w:fldChar w:fldCharType="end"/>
            </w:r>
          </w:hyperlink>
        </w:p>
        <w:p w14:paraId="64E3F0B4" w14:textId="76E4CA04" w:rsidR="00167577" w:rsidRPr="008D4D83" w:rsidRDefault="00167577">
          <w:pPr>
            <w:rPr>
              <w:rFonts w:cs="Calibri"/>
              <w:sz w:val="24"/>
              <w:szCs w:val="24"/>
            </w:rPr>
          </w:pPr>
          <w:r w:rsidRPr="00736FC1">
            <w:rPr>
              <w:rFonts w:cs="Calibri"/>
              <w:b/>
              <w:bCs/>
              <w:noProof/>
              <w:color w:val="0070C0"/>
              <w:sz w:val="24"/>
              <w:szCs w:val="24"/>
            </w:rPr>
            <w:fldChar w:fldCharType="end"/>
          </w:r>
        </w:p>
      </w:sdtContent>
    </w:sdt>
    <w:p w14:paraId="1598CB68" w14:textId="247920EF" w:rsidR="00E07313" w:rsidRPr="008D4D83" w:rsidRDefault="00E07313" w:rsidP="00F837DA">
      <w:pPr>
        <w:spacing w:line="360" w:lineRule="auto"/>
        <w:jc w:val="center"/>
        <w:outlineLvl w:val="0"/>
        <w:rPr>
          <w:rFonts w:cs="Calibri"/>
          <w:b/>
          <w:sz w:val="24"/>
          <w:szCs w:val="24"/>
        </w:rPr>
      </w:pPr>
    </w:p>
    <w:p w14:paraId="55F13349" w14:textId="214955C8" w:rsidR="00E07313" w:rsidRPr="008D4D83" w:rsidRDefault="00E07313" w:rsidP="00F837DA">
      <w:pPr>
        <w:spacing w:line="360" w:lineRule="auto"/>
        <w:jc w:val="center"/>
        <w:outlineLvl w:val="0"/>
        <w:rPr>
          <w:rFonts w:cs="Calibri"/>
          <w:b/>
          <w:sz w:val="24"/>
          <w:szCs w:val="24"/>
        </w:rPr>
      </w:pPr>
    </w:p>
    <w:p w14:paraId="156CA077" w14:textId="0354C1A9" w:rsidR="00E07313" w:rsidRPr="008D4D83" w:rsidRDefault="00E07313" w:rsidP="00F837DA">
      <w:pPr>
        <w:spacing w:line="360" w:lineRule="auto"/>
        <w:jc w:val="center"/>
        <w:outlineLvl w:val="0"/>
        <w:rPr>
          <w:rFonts w:cs="Calibri"/>
          <w:b/>
          <w:sz w:val="24"/>
          <w:szCs w:val="24"/>
        </w:rPr>
      </w:pPr>
    </w:p>
    <w:p w14:paraId="65962E5C" w14:textId="4D7D6194" w:rsidR="00E07313" w:rsidRPr="008D4D83" w:rsidRDefault="00E07313" w:rsidP="00F837DA">
      <w:pPr>
        <w:spacing w:line="360" w:lineRule="auto"/>
        <w:jc w:val="center"/>
        <w:outlineLvl w:val="0"/>
        <w:rPr>
          <w:rFonts w:cs="Calibri"/>
          <w:b/>
          <w:sz w:val="24"/>
          <w:szCs w:val="24"/>
        </w:rPr>
      </w:pPr>
    </w:p>
    <w:p w14:paraId="5E1559A8" w14:textId="741D7BA3" w:rsidR="00E07313" w:rsidRPr="008D4D83" w:rsidRDefault="00E07313" w:rsidP="00F837DA">
      <w:pPr>
        <w:spacing w:line="360" w:lineRule="auto"/>
        <w:jc w:val="center"/>
        <w:outlineLvl w:val="0"/>
        <w:rPr>
          <w:rFonts w:cs="Calibri"/>
          <w:b/>
          <w:sz w:val="24"/>
          <w:szCs w:val="24"/>
        </w:rPr>
      </w:pPr>
    </w:p>
    <w:p w14:paraId="2A1D14DA" w14:textId="38B5B3C1" w:rsidR="00E07313" w:rsidRPr="008D4D83" w:rsidRDefault="00E07313" w:rsidP="00F837DA">
      <w:pPr>
        <w:spacing w:line="360" w:lineRule="auto"/>
        <w:jc w:val="center"/>
        <w:outlineLvl w:val="0"/>
        <w:rPr>
          <w:rFonts w:cs="Calibri"/>
          <w:b/>
          <w:sz w:val="24"/>
          <w:szCs w:val="24"/>
        </w:rPr>
      </w:pPr>
    </w:p>
    <w:p w14:paraId="2DBDD4AC" w14:textId="669490FD" w:rsidR="00E07313" w:rsidRPr="008D4D83" w:rsidRDefault="00E07313" w:rsidP="00F837DA">
      <w:pPr>
        <w:spacing w:line="360" w:lineRule="auto"/>
        <w:jc w:val="center"/>
        <w:outlineLvl w:val="0"/>
        <w:rPr>
          <w:rFonts w:cs="Calibri"/>
          <w:b/>
          <w:sz w:val="24"/>
          <w:szCs w:val="24"/>
        </w:rPr>
      </w:pPr>
    </w:p>
    <w:p w14:paraId="6C8B3730" w14:textId="33D12140" w:rsidR="00E07313" w:rsidRPr="008D4D83" w:rsidRDefault="00E07313" w:rsidP="00F837DA">
      <w:pPr>
        <w:spacing w:line="360" w:lineRule="auto"/>
        <w:jc w:val="center"/>
        <w:outlineLvl w:val="0"/>
        <w:rPr>
          <w:rFonts w:cs="Calibri"/>
          <w:b/>
          <w:sz w:val="24"/>
          <w:szCs w:val="24"/>
        </w:rPr>
      </w:pPr>
    </w:p>
    <w:p w14:paraId="78F574FB" w14:textId="2B1E3A03" w:rsidR="00E07313" w:rsidRDefault="00E07313" w:rsidP="00F837DA">
      <w:pPr>
        <w:spacing w:line="360" w:lineRule="auto"/>
        <w:jc w:val="center"/>
        <w:outlineLvl w:val="0"/>
        <w:rPr>
          <w:rFonts w:cs="Calibri"/>
          <w:b/>
          <w:sz w:val="24"/>
          <w:szCs w:val="24"/>
        </w:rPr>
      </w:pPr>
    </w:p>
    <w:p w14:paraId="41A44D79" w14:textId="77777777" w:rsidR="00A72302" w:rsidRDefault="00A72302" w:rsidP="00F837DA">
      <w:pPr>
        <w:spacing w:line="360" w:lineRule="auto"/>
        <w:jc w:val="center"/>
        <w:outlineLvl w:val="0"/>
        <w:rPr>
          <w:rFonts w:cs="Calibri"/>
          <w:b/>
          <w:sz w:val="24"/>
          <w:szCs w:val="24"/>
        </w:rPr>
      </w:pPr>
    </w:p>
    <w:p w14:paraId="156B1962" w14:textId="77777777" w:rsidR="007B2345" w:rsidRDefault="007B2345" w:rsidP="00F837DA">
      <w:pPr>
        <w:spacing w:line="360" w:lineRule="auto"/>
        <w:jc w:val="center"/>
        <w:outlineLvl w:val="0"/>
        <w:rPr>
          <w:rFonts w:cs="Calibri"/>
          <w:b/>
          <w:sz w:val="24"/>
          <w:szCs w:val="24"/>
        </w:rPr>
      </w:pPr>
    </w:p>
    <w:p w14:paraId="350EBB00" w14:textId="763CA8A9" w:rsidR="00E26014" w:rsidRPr="00373B58" w:rsidRDefault="00927692" w:rsidP="00B23F38">
      <w:pPr>
        <w:pStyle w:val="Heading1"/>
        <w:rPr>
          <w:rFonts w:ascii="Calibri" w:hAnsi="Calibri" w:cs="Calibri"/>
          <w:color w:val="548DD4" w:themeColor="text2" w:themeTint="99"/>
        </w:rPr>
      </w:pPr>
      <w:bookmarkStart w:id="0" w:name="_Toc143090823"/>
      <w:bookmarkStart w:id="1" w:name="_Hlk111183502"/>
      <w:r>
        <w:rPr>
          <w:rFonts w:ascii="Calibri" w:hAnsi="Calibri" w:cs="Calibri"/>
          <w:color w:val="548DD4" w:themeColor="text2" w:themeTint="99"/>
        </w:rPr>
        <w:lastRenderedPageBreak/>
        <w:t>UVOD</w:t>
      </w:r>
      <w:bookmarkEnd w:id="0"/>
    </w:p>
    <w:bookmarkEnd w:id="1"/>
    <w:p w14:paraId="075921BB" w14:textId="77777777" w:rsidR="00927692" w:rsidRPr="00927692" w:rsidRDefault="00927692" w:rsidP="00927692">
      <w:pPr>
        <w:pStyle w:val="NoSpacing"/>
        <w:rPr>
          <w:rFonts w:cs="Calibri"/>
          <w:sz w:val="24"/>
          <w:szCs w:val="24"/>
        </w:rPr>
      </w:pPr>
      <w:r w:rsidRPr="00927692">
        <w:rPr>
          <w:rFonts w:cs="Calibri"/>
          <w:sz w:val="24"/>
          <w:szCs w:val="24"/>
        </w:rPr>
        <w:t>Regionalni razvoj je širok pojam, ali se može smatrati opštim nastojanjem da se poboljša blagostanje i životni standard u svim tipovima regiona, od gradova do ruralnih područja, i da se poboljša doprinos nacionalnom učinku i društvu koje je sveobuhvatnije i održivije. .</w:t>
      </w:r>
    </w:p>
    <w:p w14:paraId="75154030" w14:textId="77777777" w:rsidR="00C27F3D" w:rsidRDefault="00C27F3D" w:rsidP="00927692">
      <w:pPr>
        <w:pStyle w:val="NoSpacing"/>
        <w:rPr>
          <w:rFonts w:cs="Calibri"/>
          <w:sz w:val="24"/>
          <w:szCs w:val="24"/>
        </w:rPr>
      </w:pPr>
    </w:p>
    <w:p w14:paraId="016FAD59" w14:textId="34992BF8" w:rsidR="00927692" w:rsidRPr="00927692" w:rsidRDefault="00927692" w:rsidP="00927692">
      <w:pPr>
        <w:pStyle w:val="NoSpacing"/>
        <w:rPr>
          <w:rFonts w:cs="Calibri"/>
          <w:sz w:val="24"/>
          <w:szCs w:val="24"/>
        </w:rPr>
      </w:pPr>
      <w:r w:rsidRPr="00927692">
        <w:rPr>
          <w:rFonts w:cs="Calibri"/>
          <w:sz w:val="24"/>
          <w:szCs w:val="24"/>
        </w:rPr>
        <w:t xml:space="preserve">Kosovo ima </w:t>
      </w:r>
      <w:r w:rsidR="00C27F3D">
        <w:rPr>
          <w:rFonts w:cs="Calibri"/>
          <w:sz w:val="24"/>
          <w:szCs w:val="24"/>
        </w:rPr>
        <w:t>sedam</w:t>
      </w:r>
      <w:r w:rsidRPr="00927692">
        <w:rPr>
          <w:rFonts w:cs="Calibri"/>
          <w:sz w:val="24"/>
          <w:szCs w:val="24"/>
        </w:rPr>
        <w:t xml:space="preserve"> regiona ekonomskog razvoja</w:t>
      </w:r>
      <w:r w:rsidR="00C27F3D">
        <w:rPr>
          <w:rFonts w:cs="Calibri"/>
          <w:sz w:val="24"/>
          <w:szCs w:val="24"/>
        </w:rPr>
        <w:t xml:space="preserve">. </w:t>
      </w:r>
      <w:r w:rsidRPr="00927692">
        <w:rPr>
          <w:rFonts w:cs="Calibri"/>
          <w:sz w:val="24"/>
          <w:szCs w:val="24"/>
        </w:rPr>
        <w:t>Ovi regioni imaju svoje jedinstvene karakteristike, ali ih istovremeno karakterišu značajne nejednakosti i različiti nivoi društveno-ekonomskog razvoja.</w:t>
      </w:r>
    </w:p>
    <w:p w14:paraId="10C8162B" w14:textId="77777777" w:rsidR="00C27F3D" w:rsidRDefault="00C27F3D" w:rsidP="00927692">
      <w:pPr>
        <w:pStyle w:val="NoSpacing"/>
        <w:rPr>
          <w:rFonts w:cs="Calibri"/>
          <w:sz w:val="24"/>
          <w:szCs w:val="24"/>
        </w:rPr>
      </w:pPr>
    </w:p>
    <w:p w14:paraId="3459DB77" w14:textId="0D1F9C9E" w:rsidR="00927692" w:rsidRPr="00927692" w:rsidRDefault="00927692" w:rsidP="00927692">
      <w:pPr>
        <w:pStyle w:val="NoSpacing"/>
        <w:rPr>
          <w:rFonts w:cs="Calibri"/>
          <w:sz w:val="24"/>
          <w:szCs w:val="24"/>
        </w:rPr>
      </w:pPr>
      <w:r w:rsidRPr="00927692">
        <w:rPr>
          <w:rFonts w:cs="Calibri"/>
          <w:sz w:val="24"/>
          <w:szCs w:val="24"/>
        </w:rPr>
        <w:t>U cilju ublažavanja ovih nejednakosti i promovisanja uravnoteženog i održivog društvenog i ekonomskog razvoja koji se oslanja na potencijale regiona i očuvanje njihovih prirodnih i kulturnih karakteristika, Ministarstvo regionalnog razvoja je izradilo Program regionalnog razvoja.</w:t>
      </w:r>
    </w:p>
    <w:p w14:paraId="4716FE71" w14:textId="77777777" w:rsidR="00C27F3D" w:rsidRDefault="00C27F3D" w:rsidP="00927692">
      <w:pPr>
        <w:pStyle w:val="NoSpacing"/>
        <w:rPr>
          <w:rFonts w:cs="Calibri"/>
          <w:sz w:val="24"/>
          <w:szCs w:val="24"/>
        </w:rPr>
      </w:pPr>
    </w:p>
    <w:p w14:paraId="76453D8B" w14:textId="538C43EF" w:rsidR="00927692" w:rsidRPr="00927692" w:rsidRDefault="00927692" w:rsidP="00927692">
      <w:pPr>
        <w:pStyle w:val="NoSpacing"/>
        <w:rPr>
          <w:rFonts w:cs="Calibri"/>
          <w:sz w:val="24"/>
          <w:szCs w:val="24"/>
        </w:rPr>
      </w:pPr>
      <w:r w:rsidRPr="00927692">
        <w:rPr>
          <w:rFonts w:cs="Calibri"/>
          <w:sz w:val="24"/>
          <w:szCs w:val="24"/>
        </w:rPr>
        <w:t>Ovaj program je zasnovan na viziji i ciljevima Strategije za regionalni razvoj Kosova i drugih strateških dokumenata na nivou zemlje, sprovodiće ga Ministarstvo za regionalni razvoj i ima za cilj da poboljša kvalitet života građana kroz pružanje boljih socijalnih uslova i ekonomskih.</w:t>
      </w:r>
    </w:p>
    <w:p w14:paraId="2D21940E" w14:textId="77777777" w:rsidR="00C27F3D" w:rsidRDefault="00C27F3D" w:rsidP="00927692">
      <w:pPr>
        <w:pStyle w:val="NoSpacing"/>
        <w:rPr>
          <w:rFonts w:cs="Calibri"/>
          <w:sz w:val="24"/>
          <w:szCs w:val="24"/>
        </w:rPr>
      </w:pPr>
    </w:p>
    <w:p w14:paraId="5956F69E" w14:textId="4903E39F" w:rsidR="00927692" w:rsidRPr="00927692" w:rsidRDefault="00927692" w:rsidP="00927692">
      <w:pPr>
        <w:pStyle w:val="NoSpacing"/>
        <w:rPr>
          <w:rFonts w:cs="Calibri"/>
          <w:sz w:val="24"/>
          <w:szCs w:val="24"/>
        </w:rPr>
      </w:pPr>
      <w:r w:rsidRPr="00927692">
        <w:rPr>
          <w:rFonts w:cs="Calibri"/>
          <w:sz w:val="24"/>
          <w:szCs w:val="24"/>
        </w:rPr>
        <w:t>Program će sprovoditi Ministarstvo regionalnog razvoja, čiji je cilj povećanje regionalne kohezije, smanjenje nejednakosti u korišćenju resursa, povećanje produktivnosti i društvenih/ekoloških standarda, nudeći, sa druge strane, direktnu finansijsku podršku u vidu grantova. za lokalne vlasti (opštine), budući da su ove druge aktivni akteri na terenu. Iznos ovog programa za 202</w:t>
      </w:r>
      <w:r w:rsidR="00C27F3D">
        <w:rPr>
          <w:rFonts w:cs="Calibri"/>
          <w:sz w:val="24"/>
          <w:szCs w:val="24"/>
        </w:rPr>
        <w:t>4</w:t>
      </w:r>
      <w:r w:rsidRPr="00927692">
        <w:rPr>
          <w:rFonts w:cs="Calibri"/>
          <w:sz w:val="24"/>
          <w:szCs w:val="24"/>
        </w:rPr>
        <w:t xml:space="preserve">. godinu biće oko </w:t>
      </w:r>
      <w:r w:rsidRPr="00A04FCF">
        <w:rPr>
          <w:rFonts w:cs="Calibri"/>
          <w:b/>
          <w:sz w:val="24"/>
          <w:szCs w:val="24"/>
          <w:u w:val="single"/>
        </w:rPr>
        <w:t>2.000.000,00 evra.</w:t>
      </w:r>
    </w:p>
    <w:p w14:paraId="77420B34" w14:textId="77777777" w:rsidR="00C27F3D" w:rsidRDefault="00C27F3D" w:rsidP="00927692">
      <w:pPr>
        <w:pStyle w:val="NoSpacing"/>
        <w:rPr>
          <w:rFonts w:cs="Calibri"/>
          <w:sz w:val="24"/>
          <w:szCs w:val="24"/>
        </w:rPr>
      </w:pPr>
    </w:p>
    <w:p w14:paraId="783FEA08" w14:textId="0C3CC3FE" w:rsidR="00927692" w:rsidRPr="00927692" w:rsidRDefault="00927692" w:rsidP="00927692">
      <w:pPr>
        <w:pStyle w:val="NoSpacing"/>
        <w:rPr>
          <w:rFonts w:cs="Calibri"/>
          <w:sz w:val="24"/>
          <w:szCs w:val="24"/>
        </w:rPr>
      </w:pPr>
      <w:r w:rsidRPr="00927692">
        <w:rPr>
          <w:rFonts w:cs="Calibri"/>
          <w:sz w:val="24"/>
          <w:szCs w:val="24"/>
        </w:rPr>
        <w:t xml:space="preserve">Vredi napomenuti da je MDR iz ovog iznosa ugovorio </w:t>
      </w:r>
      <w:r w:rsidR="00C27F3D">
        <w:rPr>
          <w:rFonts w:cs="Calibri"/>
          <w:sz w:val="24"/>
          <w:szCs w:val="24"/>
        </w:rPr>
        <w:t>3</w:t>
      </w:r>
      <w:r w:rsidRPr="00927692">
        <w:rPr>
          <w:rFonts w:cs="Calibri"/>
          <w:sz w:val="24"/>
          <w:szCs w:val="24"/>
        </w:rPr>
        <w:t xml:space="preserve"> dvogodišnja projekta sa </w:t>
      </w:r>
      <w:r w:rsidR="00C27F3D">
        <w:rPr>
          <w:rFonts w:cs="Calibri"/>
          <w:sz w:val="24"/>
          <w:szCs w:val="24"/>
        </w:rPr>
        <w:t>3</w:t>
      </w:r>
      <w:r w:rsidRPr="00927692">
        <w:rPr>
          <w:rFonts w:cs="Calibri"/>
          <w:sz w:val="24"/>
          <w:szCs w:val="24"/>
        </w:rPr>
        <w:t xml:space="preserve"> opštine, a ukupan iznos ovih projekata za 202</w:t>
      </w:r>
      <w:r w:rsidR="00C27F3D">
        <w:rPr>
          <w:rFonts w:cs="Calibri"/>
          <w:sz w:val="24"/>
          <w:szCs w:val="24"/>
        </w:rPr>
        <w:t>4</w:t>
      </w:r>
      <w:r w:rsidRPr="00927692">
        <w:rPr>
          <w:rFonts w:cs="Calibri"/>
          <w:sz w:val="24"/>
          <w:szCs w:val="24"/>
        </w:rPr>
        <w:t xml:space="preserve">. godinu iznosi </w:t>
      </w:r>
      <w:r w:rsidR="00C27F3D">
        <w:rPr>
          <w:rFonts w:cs="Calibri"/>
          <w:sz w:val="24"/>
          <w:szCs w:val="24"/>
        </w:rPr>
        <w:t>56</w:t>
      </w:r>
      <w:r w:rsidRPr="00927692">
        <w:rPr>
          <w:rFonts w:cs="Calibri"/>
          <w:sz w:val="24"/>
          <w:szCs w:val="24"/>
        </w:rPr>
        <w:t>0.000,00 evra, tako da je preostali iznos za nove predloge projekata 1.</w:t>
      </w:r>
      <w:r w:rsidR="00C27F3D">
        <w:rPr>
          <w:rFonts w:cs="Calibri"/>
          <w:sz w:val="24"/>
          <w:szCs w:val="24"/>
        </w:rPr>
        <w:t>44</w:t>
      </w:r>
      <w:r w:rsidRPr="00927692">
        <w:rPr>
          <w:rFonts w:cs="Calibri"/>
          <w:sz w:val="24"/>
          <w:szCs w:val="24"/>
        </w:rPr>
        <w:t>0.000,00 evra.</w:t>
      </w:r>
      <w:r w:rsidR="00926B33">
        <w:rPr>
          <w:rFonts w:cs="Calibri"/>
          <w:sz w:val="24"/>
          <w:szCs w:val="24"/>
        </w:rPr>
        <w:t xml:space="preserve"> </w:t>
      </w:r>
      <w:r w:rsidR="00926B33" w:rsidRPr="00926B33">
        <w:rPr>
          <w:rFonts w:cs="Calibri"/>
          <w:sz w:val="24"/>
          <w:szCs w:val="24"/>
        </w:rPr>
        <w:t>Ukoliko MR</w:t>
      </w:r>
      <w:r w:rsidR="00926B33">
        <w:rPr>
          <w:rFonts w:cs="Calibri"/>
          <w:sz w:val="24"/>
          <w:szCs w:val="24"/>
        </w:rPr>
        <w:t>R</w:t>
      </w:r>
      <w:r w:rsidR="00926B33" w:rsidRPr="00926B33">
        <w:rPr>
          <w:rFonts w:cs="Calibri"/>
          <w:sz w:val="24"/>
          <w:szCs w:val="24"/>
        </w:rPr>
        <w:t xml:space="preserve"> dobije dodatna sredstva od vlade u ovoj kategoriji, finansiraće projekte sa rezervne liste</w:t>
      </w:r>
      <w:r w:rsidR="00926B33">
        <w:rPr>
          <w:rFonts w:cs="Calibri"/>
          <w:sz w:val="24"/>
          <w:szCs w:val="24"/>
        </w:rPr>
        <w:t>.</w:t>
      </w:r>
    </w:p>
    <w:p w14:paraId="47021E8E" w14:textId="77777777" w:rsidR="00927692" w:rsidRPr="00927692" w:rsidRDefault="00927692" w:rsidP="00927692">
      <w:pPr>
        <w:pStyle w:val="NoSpacing"/>
        <w:rPr>
          <w:rFonts w:cs="Calibri"/>
          <w:sz w:val="24"/>
          <w:szCs w:val="24"/>
        </w:rPr>
      </w:pPr>
    </w:p>
    <w:p w14:paraId="5764A076" w14:textId="1D1618AE" w:rsidR="00C37080" w:rsidRDefault="00927692" w:rsidP="00927692">
      <w:pPr>
        <w:pStyle w:val="NoSpacing"/>
        <w:rPr>
          <w:rFonts w:cs="Calibri"/>
          <w:sz w:val="24"/>
          <w:szCs w:val="24"/>
        </w:rPr>
      </w:pPr>
      <w:r w:rsidRPr="00927692">
        <w:rPr>
          <w:rFonts w:cs="Calibri"/>
          <w:sz w:val="24"/>
          <w:szCs w:val="24"/>
        </w:rPr>
        <w:t>Informativne sesije za ovaj poziv organizuje MDR</w:t>
      </w:r>
      <w:r w:rsidR="00C27F3D">
        <w:rPr>
          <w:rFonts w:cs="Calibri"/>
          <w:sz w:val="24"/>
          <w:szCs w:val="24"/>
        </w:rPr>
        <w:t xml:space="preserve">. </w:t>
      </w:r>
      <w:r w:rsidRPr="00927692">
        <w:rPr>
          <w:rFonts w:cs="Calibri"/>
          <w:sz w:val="24"/>
          <w:szCs w:val="24"/>
        </w:rPr>
        <w:t xml:space="preserve"> </w:t>
      </w:r>
    </w:p>
    <w:p w14:paraId="1BBFB9B0" w14:textId="77777777" w:rsidR="00A04FCF" w:rsidRPr="008D4D83" w:rsidRDefault="00A04FCF" w:rsidP="00927692">
      <w:pPr>
        <w:pStyle w:val="NoSpacing"/>
        <w:rPr>
          <w:sz w:val="24"/>
          <w:szCs w:val="24"/>
        </w:rPr>
      </w:pPr>
    </w:p>
    <w:p w14:paraId="4229494B" w14:textId="3D89421E" w:rsidR="00B72723" w:rsidRDefault="00A04FCF" w:rsidP="004A1897">
      <w:pPr>
        <w:pStyle w:val="Heading1"/>
        <w:rPr>
          <w:rFonts w:ascii="Calibri" w:hAnsi="Calibri" w:cs="Calibri"/>
          <w:color w:val="548DD4" w:themeColor="text2" w:themeTint="99"/>
        </w:rPr>
      </w:pPr>
      <w:bookmarkStart w:id="2" w:name="_Toc143090824"/>
      <w:r>
        <w:rPr>
          <w:rFonts w:ascii="Calibri" w:hAnsi="Calibri" w:cs="Calibri"/>
          <w:color w:val="548DD4" w:themeColor="text2" w:themeTint="99"/>
        </w:rPr>
        <w:t>CILJEVI PROGRAMA</w:t>
      </w:r>
      <w:bookmarkEnd w:id="2"/>
    </w:p>
    <w:p w14:paraId="007A80F7" w14:textId="56F8BC66" w:rsidR="00A04FCF" w:rsidRDefault="00A04FCF" w:rsidP="001D6D79">
      <w:r>
        <w:t>Glavni Ciljevi</w:t>
      </w:r>
      <w:r w:rsidRPr="008D4D83">
        <w:t xml:space="preserve">: </w:t>
      </w:r>
    </w:p>
    <w:p w14:paraId="441A754A" w14:textId="6D1147F8" w:rsidR="00A04FCF" w:rsidRPr="00A04FCF" w:rsidRDefault="00A04FCF" w:rsidP="001D6D79">
      <w:r w:rsidRPr="00A04FCF">
        <w:t>Podrška projektima osmišljenim kroz integrisane i sveobuhvatne pristupe i koji su u skladu sa ciljevima Strategije regionalnog razvoja i drugih relevantnih lokalnih strategija.</w:t>
      </w:r>
    </w:p>
    <w:p w14:paraId="13492518" w14:textId="3BE27B7E" w:rsidR="00A04FCF" w:rsidRPr="00701058" w:rsidRDefault="00A04FCF" w:rsidP="001D6D79">
      <w:r w:rsidRPr="00A04FCF">
        <w:t>Povećanje ekonomskog, turističkog potencijala i ekološke osetljivosti u svim opštinama, odnosno regionima Kosova kroz projekte koji povezuju turističke, društvene, ekonomske, kulturne i ekološke aspekte.</w:t>
      </w:r>
    </w:p>
    <w:p w14:paraId="3729ADC5" w14:textId="77777777" w:rsidR="00A04FCF" w:rsidRPr="00A04FCF" w:rsidRDefault="00A04FCF" w:rsidP="001D6D79">
      <w:r w:rsidRPr="00A04FCF">
        <w:t>Specifičan cilj</w:t>
      </w:r>
    </w:p>
    <w:p w14:paraId="670A8D9F" w14:textId="2B2AE9DF" w:rsidR="00A04FCF" w:rsidRPr="00A04FCF" w:rsidRDefault="00A04FCF" w:rsidP="001D6D79">
      <w:r w:rsidRPr="00A04FCF">
        <w:t xml:space="preserve">• Podrška opštinama grantovima za identifikaciju, razvoj i implementaciju projektnih ideja koje su zasnovane na karakteristikama i potencijalima zemlje/regiona, a koje se odnose na razvoj potencijala </w:t>
      </w:r>
      <w:r w:rsidRPr="00A04FCF">
        <w:lastRenderedPageBreak/>
        <w:t>prirodnog, kulturnog, sportskog i zdravstvenog turizma, kroz konkretne i vizuelne intervencije u urbanim i ruralnim sredinama.</w:t>
      </w:r>
    </w:p>
    <w:p w14:paraId="4F77BD3E" w14:textId="285ADE04" w:rsidR="00A04FCF" w:rsidRPr="00A04FCF" w:rsidRDefault="00A04FCF" w:rsidP="001D6D79">
      <w:r w:rsidRPr="00A04FCF">
        <w:rPr>
          <w:u w:val="single"/>
        </w:rPr>
        <w:t>Neki primeri (za inspiraciju)</w:t>
      </w:r>
      <w:r w:rsidRPr="00A04FCF">
        <w:t xml:space="preserve"> su predstavljeni u nastavku, ali takođe možete eksperimentisati sa drugim atraktivnim projektnim idejama koje spadaju u ovu oblast.</w:t>
      </w:r>
    </w:p>
    <w:p w14:paraId="0C5D3FB1" w14:textId="4103F64D" w:rsidR="00A04FCF" w:rsidRPr="00A04FCF" w:rsidRDefault="00A04FCF" w:rsidP="001D6D79">
      <w:r w:rsidRPr="00A04FCF">
        <w:t>Prirodni: avanturistički parkovi, pešačke staze, staze u prirodi, pešačke staze, panoramski balkoni, mostovi (drveni, kameni itd.)</w:t>
      </w:r>
    </w:p>
    <w:p w14:paraId="572CC063" w14:textId="500CC050" w:rsidR="00A04FCF" w:rsidRPr="00A04FCF" w:rsidRDefault="00A04FCF" w:rsidP="001D6D79">
      <w:r w:rsidRPr="00A04FCF">
        <w:t>Kulturno: restauracija/rehabilitacija objekata kulturnog nasleđa; sanacija pojedinih naselja, rekonstrukcija istorijskih centara grada, izgradnja muzeja specifičnih za region (koji kombinuju modernost sa specifičnim elementima regiona),</w:t>
      </w:r>
    </w:p>
    <w:p w14:paraId="4FBA599B" w14:textId="143A9CD3" w:rsidR="00A04FCF" w:rsidRPr="00A04FCF" w:rsidRDefault="00A04FCF" w:rsidP="001D6D79">
      <w:r w:rsidRPr="00A04FCF">
        <w:t>Sport: sportski tereni, sportski objekti, letačke platforme (sa padobranima itd.)</w:t>
      </w:r>
    </w:p>
    <w:p w14:paraId="673E9C0F" w14:textId="0A307DBC" w:rsidR="00A04FCF" w:rsidRPr="00A04FCF" w:rsidRDefault="00A04FCF" w:rsidP="001D6D79">
      <w:r w:rsidRPr="00A04FCF">
        <w:t>Zdravlje: izgradnja rehabilitacionih centara (za osobe sa različitim zavisnostima, ili drugih centara sličnog karaktera).</w:t>
      </w:r>
    </w:p>
    <w:p w14:paraId="55486024" w14:textId="77777777" w:rsidR="00A04FCF" w:rsidRDefault="00A04FCF" w:rsidP="001D6D79">
      <w:r w:rsidRPr="00A04FCF">
        <w:t>Prateća infrastruktura: staze, osvetljenje, stanice, recepcije itd.</w:t>
      </w:r>
    </w:p>
    <w:p w14:paraId="7CD09AA4" w14:textId="77777777" w:rsidR="007206B2" w:rsidRPr="007206B2" w:rsidRDefault="007206B2" w:rsidP="007206B2"/>
    <w:p w14:paraId="4760228E" w14:textId="77777777" w:rsidR="007206B2" w:rsidRPr="007206B2" w:rsidRDefault="007206B2" w:rsidP="008B794F">
      <w:pPr>
        <w:pStyle w:val="Heading1"/>
      </w:pPr>
      <w:bookmarkStart w:id="3" w:name="_Toc143090825"/>
      <w:r w:rsidRPr="007206B2">
        <w:t>SPECIFIČNI REZULTATI</w:t>
      </w:r>
      <w:bookmarkEnd w:id="3"/>
    </w:p>
    <w:p w14:paraId="6B7BF98F" w14:textId="77777777" w:rsidR="007206B2" w:rsidRPr="007206B2" w:rsidRDefault="007206B2" w:rsidP="001D6D79">
      <w:r w:rsidRPr="007206B2">
        <w:t>Stvaranje ovog Programa će omogućiti opštinama da dalje razvijaju svoju vodeću ulogu u unapređenju društveno-ekonomskog razvoja kroz projekte koji doprinose jednom ili više prioriteta navedenih u njihovoj regionalnoj/lokalnoj razvojnoj strategiji. Tačnije, očekivani rezultati su sledeći:</w:t>
      </w:r>
    </w:p>
    <w:p w14:paraId="0E21C230"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p>
    <w:p w14:paraId="402359D2" w14:textId="77777777" w:rsidR="007206B2" w:rsidRDefault="007206B2" w:rsidP="007206B2">
      <w:pPr>
        <w:pStyle w:val="NoSpacing"/>
        <w:rPr>
          <w:rFonts w:asciiTheme="minorHAnsi" w:eastAsiaTheme="majorEastAsia" w:hAnsiTheme="minorHAnsi" w:cstheme="minorHAnsi"/>
          <w:b/>
          <w:color w:val="000000" w:themeColor="text1"/>
          <w:sz w:val="24"/>
          <w:szCs w:val="24"/>
        </w:rPr>
      </w:pPr>
      <w:r w:rsidRPr="007206B2">
        <w:rPr>
          <w:rFonts w:asciiTheme="minorHAnsi" w:eastAsiaTheme="majorEastAsia" w:hAnsiTheme="minorHAnsi" w:cstheme="minorHAnsi"/>
          <w:b/>
          <w:color w:val="000000" w:themeColor="text1"/>
          <w:sz w:val="24"/>
          <w:szCs w:val="24"/>
        </w:rPr>
        <w:t>Očekivani kratkoročni rezultati:</w:t>
      </w:r>
    </w:p>
    <w:p w14:paraId="197F0519" w14:textId="77777777" w:rsidR="007206B2" w:rsidRPr="007206B2" w:rsidRDefault="007206B2" w:rsidP="007206B2">
      <w:pPr>
        <w:pStyle w:val="NoSpacing"/>
        <w:rPr>
          <w:rFonts w:asciiTheme="minorHAnsi" w:eastAsiaTheme="majorEastAsia" w:hAnsiTheme="minorHAnsi" w:cstheme="minorHAnsi"/>
          <w:b/>
          <w:color w:val="000000" w:themeColor="text1"/>
          <w:sz w:val="24"/>
          <w:szCs w:val="24"/>
        </w:rPr>
      </w:pPr>
    </w:p>
    <w:p w14:paraId="2739917A"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Ojačani opštinski kapaciteti za identifikaciju, razvoj, implementaciju, praćenje i održavanje kapitalnih projekata</w:t>
      </w:r>
    </w:p>
    <w:p w14:paraId="668EB409"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Projekti identifikovani i razvijeni zajedno sa zajednicom i relevantnim zainteresovanim stranama (uključujući nevladine organizacije, itd.)</w:t>
      </w:r>
    </w:p>
    <w:p w14:paraId="0B9D9863"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Projekti zasnovani na lokalnim karakteristikama i potencijalima, ali koji imaju pozitivan socio-ekonomski uticaj u određenim regionima</w:t>
      </w:r>
    </w:p>
    <w:p w14:paraId="37EBBCA5"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Projekti koji povećavaju društvenu koheziju, ali takođe promovišu i štite prirodna i kulturna dobra regiona</w:t>
      </w:r>
    </w:p>
    <w:p w14:paraId="69B0E5FF"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Projekti identifikovani i razvijeni od strane dve ili više opština kroz sufinansiranje (poželjno i podsticano)</w:t>
      </w:r>
    </w:p>
    <w:p w14:paraId="42746298"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Veće vlasništvo nad projektima koje sprovode javne vlasti, zajednica, civilno društvo, stejkholderi, itd.</w:t>
      </w:r>
    </w:p>
    <w:p w14:paraId="05F73DD6"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Politička i tehnička spremnost izražena kroz adekvatno planiranje budžeta, kao i otvorene i transparentne procese</w:t>
      </w:r>
    </w:p>
    <w:p w14:paraId="790BDB55"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p>
    <w:p w14:paraId="56EA4C9B" w14:textId="77777777" w:rsidR="007206B2" w:rsidRDefault="007206B2" w:rsidP="007206B2">
      <w:pPr>
        <w:pStyle w:val="NoSpacing"/>
        <w:rPr>
          <w:rFonts w:asciiTheme="minorHAnsi" w:eastAsiaTheme="majorEastAsia" w:hAnsiTheme="minorHAnsi" w:cstheme="minorHAnsi"/>
          <w:b/>
          <w:color w:val="000000" w:themeColor="text1"/>
          <w:sz w:val="24"/>
          <w:szCs w:val="24"/>
        </w:rPr>
      </w:pPr>
      <w:r w:rsidRPr="007206B2">
        <w:rPr>
          <w:rFonts w:asciiTheme="minorHAnsi" w:eastAsiaTheme="majorEastAsia" w:hAnsiTheme="minorHAnsi" w:cstheme="minorHAnsi"/>
          <w:b/>
          <w:color w:val="000000" w:themeColor="text1"/>
          <w:sz w:val="24"/>
          <w:szCs w:val="24"/>
        </w:rPr>
        <w:t>Očekivani dugoročni rezultati:</w:t>
      </w:r>
    </w:p>
    <w:p w14:paraId="7589B28B"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Javne (opštinske) vlasti pripremljene za uspešno upravljanje čitavim ciklusom projekata kapitalnih investicija</w:t>
      </w:r>
    </w:p>
    <w:p w14:paraId="3E936F57"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lastRenderedPageBreak/>
        <w:t>• Veći stepen inkluzivnosti i transparentnosti tokom identifikacije, razvoja i implementacije projektnog ciklusa</w:t>
      </w:r>
    </w:p>
    <w:p w14:paraId="3923255D"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Unapređenje kvaliteta života građana u pojedinim sredinama i regionima</w:t>
      </w:r>
    </w:p>
    <w:p w14:paraId="145D2293"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Manje nejednakosti između regiona na Kosovu</w:t>
      </w:r>
    </w:p>
    <w:p w14:paraId="65BD25EC" w14:textId="77777777" w:rsidR="00701058" w:rsidRDefault="00701058" w:rsidP="007206B2">
      <w:pPr>
        <w:pStyle w:val="NoSpacing"/>
        <w:rPr>
          <w:rFonts w:asciiTheme="minorHAnsi" w:eastAsiaTheme="majorEastAsia" w:hAnsiTheme="minorHAnsi" w:cstheme="minorHAnsi"/>
          <w:color w:val="000000" w:themeColor="text1"/>
          <w:sz w:val="24"/>
          <w:szCs w:val="24"/>
        </w:rPr>
      </w:pPr>
    </w:p>
    <w:p w14:paraId="5404274F" w14:textId="64B3EDF8" w:rsidR="007206B2" w:rsidRPr="00701058" w:rsidRDefault="007206B2" w:rsidP="00234714">
      <w:pPr>
        <w:pStyle w:val="Heading1"/>
      </w:pPr>
      <w:bookmarkStart w:id="4" w:name="_Toc143090826"/>
      <w:r w:rsidRPr="00701058">
        <w:t>VRSTE AKTIVNOSTI</w:t>
      </w:r>
      <w:bookmarkEnd w:id="4"/>
    </w:p>
    <w:p w14:paraId="3E64ED99"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Projekti će biti kategorisani kao kapitalna ulaganja, u vezi sa opštim ciljem Programa.</w:t>
      </w:r>
    </w:p>
    <w:p w14:paraId="6A316C3C" w14:textId="77777777" w:rsidR="00701058" w:rsidRDefault="00701058" w:rsidP="007206B2">
      <w:pPr>
        <w:pStyle w:val="NoSpacing"/>
        <w:rPr>
          <w:rFonts w:asciiTheme="minorHAnsi" w:eastAsiaTheme="majorEastAsia" w:hAnsiTheme="minorHAnsi" w:cstheme="minorHAnsi"/>
          <w:color w:val="000000" w:themeColor="text1"/>
          <w:sz w:val="24"/>
          <w:szCs w:val="24"/>
        </w:rPr>
      </w:pPr>
    </w:p>
    <w:p w14:paraId="40FBCFA3" w14:textId="435D37C5" w:rsidR="007206B2" w:rsidRPr="00701058" w:rsidRDefault="007206B2" w:rsidP="00234714">
      <w:pPr>
        <w:pStyle w:val="Heading1"/>
      </w:pPr>
      <w:bookmarkStart w:id="5" w:name="_Toc143090827"/>
      <w:r w:rsidRPr="00701058">
        <w:t>VREDNOST PROJEKATA SA KOJIMA SE OPŠTINE PRIJAVLJAJU</w:t>
      </w:r>
      <w:bookmarkEnd w:id="5"/>
    </w:p>
    <w:p w14:paraId="5F3ED629" w14:textId="4A9B174E"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xml:space="preserve">Ukupan mogući iznos koji se nudi putem ovog Poziva za prijavu je </w:t>
      </w:r>
      <w:r w:rsidR="00701058" w:rsidRPr="00701058">
        <w:rPr>
          <w:rFonts w:asciiTheme="minorHAnsi" w:eastAsiaTheme="majorEastAsia" w:hAnsiTheme="minorHAnsi" w:cstheme="minorHAnsi"/>
          <w:b/>
          <w:bCs/>
          <w:color w:val="000000" w:themeColor="text1"/>
          <w:sz w:val="24"/>
          <w:szCs w:val="24"/>
        </w:rPr>
        <w:t>1,44</w:t>
      </w:r>
      <w:r w:rsidRPr="00701058">
        <w:rPr>
          <w:rFonts w:asciiTheme="minorHAnsi" w:eastAsiaTheme="majorEastAsia" w:hAnsiTheme="minorHAnsi" w:cstheme="minorHAnsi"/>
          <w:b/>
          <w:bCs/>
          <w:color w:val="000000" w:themeColor="text1"/>
          <w:sz w:val="24"/>
          <w:szCs w:val="24"/>
        </w:rPr>
        <w:t xml:space="preserve">0.000,00 </w:t>
      </w:r>
      <w:r w:rsidRPr="00C52545">
        <w:rPr>
          <w:rFonts w:asciiTheme="minorHAnsi" w:eastAsiaTheme="majorEastAsia" w:hAnsiTheme="minorHAnsi" w:cstheme="minorHAnsi"/>
          <w:b/>
          <w:color w:val="000000" w:themeColor="text1"/>
          <w:sz w:val="24"/>
          <w:szCs w:val="24"/>
        </w:rPr>
        <w:t>EUR</w:t>
      </w:r>
      <w:r w:rsidRPr="007206B2">
        <w:rPr>
          <w:rFonts w:asciiTheme="minorHAnsi" w:eastAsiaTheme="majorEastAsia" w:hAnsiTheme="minorHAnsi" w:cstheme="minorHAnsi"/>
          <w:color w:val="000000" w:themeColor="text1"/>
          <w:sz w:val="24"/>
          <w:szCs w:val="24"/>
        </w:rPr>
        <w:t>. Naručilac zadržava pravo da ne dodeli sva raspoloživa sredstva.</w:t>
      </w:r>
    </w:p>
    <w:p w14:paraId="08AAD04B" w14:textId="77777777" w:rsidR="007206B2" w:rsidRPr="00C52545" w:rsidRDefault="007206B2" w:rsidP="007206B2">
      <w:pPr>
        <w:pStyle w:val="NoSpacing"/>
        <w:rPr>
          <w:rFonts w:asciiTheme="minorHAnsi" w:eastAsiaTheme="majorEastAsia" w:hAnsiTheme="minorHAnsi" w:cstheme="minorHAnsi"/>
          <w:b/>
          <w:color w:val="000000" w:themeColor="text1"/>
          <w:sz w:val="24"/>
          <w:szCs w:val="24"/>
          <w:u w:val="single"/>
        </w:rPr>
      </w:pPr>
    </w:p>
    <w:p w14:paraId="1C058838" w14:textId="77777777" w:rsidR="007206B2" w:rsidRPr="00C52545" w:rsidRDefault="007206B2" w:rsidP="007206B2">
      <w:pPr>
        <w:pStyle w:val="NoSpacing"/>
        <w:rPr>
          <w:rFonts w:asciiTheme="minorHAnsi" w:eastAsiaTheme="majorEastAsia" w:hAnsiTheme="minorHAnsi" w:cstheme="minorHAnsi"/>
          <w:b/>
          <w:color w:val="000000" w:themeColor="text1"/>
          <w:sz w:val="24"/>
          <w:szCs w:val="24"/>
          <w:u w:val="single"/>
        </w:rPr>
      </w:pPr>
      <w:r w:rsidRPr="00C52545">
        <w:rPr>
          <w:rFonts w:asciiTheme="minorHAnsi" w:eastAsiaTheme="majorEastAsia" w:hAnsiTheme="minorHAnsi" w:cstheme="minorHAnsi"/>
          <w:b/>
          <w:color w:val="000000" w:themeColor="text1"/>
          <w:sz w:val="24"/>
          <w:szCs w:val="24"/>
          <w:u w:val="single"/>
        </w:rPr>
        <w:t>Vrednost projekata:</w:t>
      </w:r>
    </w:p>
    <w:p w14:paraId="1B477DF3"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p>
    <w:p w14:paraId="20B79032" w14:textId="40C545C9" w:rsidR="007206B2" w:rsidRPr="00C52545" w:rsidRDefault="00C52545" w:rsidP="007206B2">
      <w:pPr>
        <w:pStyle w:val="NoSpacing"/>
        <w:rPr>
          <w:rFonts w:asciiTheme="minorHAnsi" w:eastAsiaTheme="majorEastAsia" w:hAnsiTheme="minorHAnsi" w:cstheme="minorHAnsi"/>
          <w:color w:val="000000" w:themeColor="text1"/>
          <w:sz w:val="24"/>
          <w:szCs w:val="24"/>
          <w:u w:val="single"/>
        </w:rPr>
      </w:pPr>
      <w:r w:rsidRPr="00C52545">
        <w:rPr>
          <w:rFonts w:asciiTheme="minorHAnsi" w:eastAsiaTheme="majorEastAsia" w:hAnsiTheme="minorHAnsi" w:cstheme="minorHAnsi"/>
          <w:color w:val="000000" w:themeColor="text1"/>
          <w:sz w:val="24"/>
          <w:szCs w:val="24"/>
          <w:u w:val="single"/>
        </w:rPr>
        <w:t>P</w:t>
      </w:r>
      <w:r w:rsidR="007206B2" w:rsidRPr="00C52545">
        <w:rPr>
          <w:rFonts w:asciiTheme="minorHAnsi" w:eastAsiaTheme="majorEastAsia" w:hAnsiTheme="minorHAnsi" w:cstheme="minorHAnsi"/>
          <w:color w:val="000000" w:themeColor="text1"/>
          <w:sz w:val="24"/>
          <w:szCs w:val="24"/>
          <w:u w:val="single"/>
        </w:rPr>
        <w:t>rva kategorija:</w:t>
      </w:r>
    </w:p>
    <w:p w14:paraId="3D239B7E" w14:textId="3DCBFD2E" w:rsidR="007206B2" w:rsidRPr="007206B2"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Posvećen je projektima javne infrastrukture za regionalni socio-ekonomski razvoj i projektima koji se odnose na ekonomske zone prema zahtevima opština u okviru poziva za podnošenje predlo</w:t>
      </w:r>
      <w:r w:rsidR="00C52545">
        <w:rPr>
          <w:rFonts w:asciiTheme="minorHAnsi" w:eastAsiaTheme="majorEastAsia" w:hAnsiTheme="minorHAnsi" w:cstheme="minorHAnsi"/>
          <w:color w:val="000000" w:themeColor="text1"/>
          <w:sz w:val="24"/>
          <w:szCs w:val="24"/>
        </w:rPr>
        <w:t>ga projekata koji je raspisao MR</w:t>
      </w:r>
      <w:r w:rsidRPr="007206B2">
        <w:rPr>
          <w:rFonts w:asciiTheme="minorHAnsi" w:eastAsiaTheme="majorEastAsia" w:hAnsiTheme="minorHAnsi" w:cstheme="minorHAnsi"/>
          <w:color w:val="000000" w:themeColor="text1"/>
          <w:sz w:val="24"/>
          <w:szCs w:val="24"/>
        </w:rPr>
        <w:t>R.</w:t>
      </w:r>
    </w:p>
    <w:p w14:paraId="1A10F5A3" w14:textId="77777777" w:rsidR="007206B2" w:rsidRPr="007206B2" w:rsidRDefault="007206B2" w:rsidP="007206B2">
      <w:pPr>
        <w:pStyle w:val="NoSpacing"/>
        <w:rPr>
          <w:rFonts w:asciiTheme="minorHAnsi" w:eastAsiaTheme="majorEastAsia" w:hAnsiTheme="minorHAnsi" w:cstheme="minorHAnsi"/>
          <w:color w:val="000000" w:themeColor="text1"/>
          <w:sz w:val="24"/>
          <w:szCs w:val="24"/>
        </w:rPr>
      </w:pPr>
    </w:p>
    <w:p w14:paraId="4DF1ADC8" w14:textId="628F8260" w:rsidR="00F35C2C" w:rsidRDefault="007206B2" w:rsidP="007206B2">
      <w:pPr>
        <w:pStyle w:val="NoSpacing"/>
        <w:rPr>
          <w:rFonts w:asciiTheme="minorHAnsi" w:eastAsiaTheme="majorEastAsia" w:hAnsiTheme="minorHAnsi" w:cstheme="minorHAnsi"/>
          <w:color w:val="000000" w:themeColor="text1"/>
          <w:sz w:val="24"/>
          <w:szCs w:val="24"/>
        </w:rPr>
      </w:pPr>
      <w:r w:rsidRPr="007206B2">
        <w:rPr>
          <w:rFonts w:asciiTheme="minorHAnsi" w:eastAsiaTheme="majorEastAsia" w:hAnsiTheme="minorHAnsi" w:cstheme="minorHAnsi"/>
          <w:color w:val="000000" w:themeColor="text1"/>
          <w:sz w:val="24"/>
          <w:szCs w:val="24"/>
        </w:rPr>
        <w:t xml:space="preserve">Ako se u okviru ovog poziva </w:t>
      </w:r>
      <w:r w:rsidRPr="00C52545">
        <w:rPr>
          <w:rFonts w:asciiTheme="minorHAnsi" w:eastAsiaTheme="majorEastAsia" w:hAnsiTheme="minorHAnsi" w:cstheme="minorHAnsi"/>
          <w:b/>
          <w:color w:val="000000" w:themeColor="text1"/>
          <w:sz w:val="24"/>
          <w:szCs w:val="24"/>
          <w:u w:val="single"/>
        </w:rPr>
        <w:t>samo jedna opština</w:t>
      </w:r>
      <w:r w:rsidRPr="007206B2">
        <w:rPr>
          <w:rFonts w:asciiTheme="minorHAnsi" w:eastAsiaTheme="majorEastAsia" w:hAnsiTheme="minorHAnsi" w:cstheme="minorHAnsi"/>
          <w:color w:val="000000" w:themeColor="text1"/>
          <w:sz w:val="24"/>
          <w:szCs w:val="24"/>
        </w:rPr>
        <w:t xml:space="preserve"> pri</w:t>
      </w:r>
      <w:r w:rsidR="00C52545">
        <w:rPr>
          <w:rFonts w:asciiTheme="minorHAnsi" w:eastAsiaTheme="majorEastAsia" w:hAnsiTheme="minorHAnsi" w:cstheme="minorHAnsi"/>
          <w:color w:val="000000" w:themeColor="text1"/>
          <w:sz w:val="24"/>
          <w:szCs w:val="24"/>
        </w:rPr>
        <w:t>javi kao jedna, vrednost koju MR</w:t>
      </w:r>
      <w:r w:rsidRPr="007206B2">
        <w:rPr>
          <w:rFonts w:asciiTheme="minorHAnsi" w:eastAsiaTheme="majorEastAsia" w:hAnsiTheme="minorHAnsi" w:cstheme="minorHAnsi"/>
          <w:color w:val="000000" w:themeColor="text1"/>
          <w:sz w:val="24"/>
          <w:szCs w:val="24"/>
        </w:rPr>
        <w:t>R zahteva za projekat mora biti u okviru sledećih vrednosti (minimalne i maksimalne).</w:t>
      </w:r>
    </w:p>
    <w:p w14:paraId="69C989C0" w14:textId="77777777" w:rsidR="007206B2" w:rsidRPr="007206B2" w:rsidRDefault="007206B2" w:rsidP="007206B2">
      <w:pPr>
        <w:pStyle w:val="NoSpacing"/>
        <w:rPr>
          <w:rFonts w:asciiTheme="minorHAnsi" w:hAnsiTheme="minorHAnsi" w:cstheme="minorHAnsi"/>
          <w:bCs/>
          <w:color w:val="000000" w:themeColor="text1"/>
          <w:sz w:val="24"/>
          <w:szCs w:val="24"/>
          <w:u w:val="single"/>
        </w:rPr>
      </w:pPr>
    </w:p>
    <w:tbl>
      <w:tblPr>
        <w:tblStyle w:val="GridTable4-Accent1"/>
        <w:tblW w:w="0" w:type="auto"/>
        <w:jc w:val="center"/>
        <w:tblLook w:val="04A0" w:firstRow="1" w:lastRow="0" w:firstColumn="1" w:lastColumn="0" w:noHBand="0" w:noVBand="1"/>
      </w:tblPr>
      <w:tblGrid>
        <w:gridCol w:w="2692"/>
        <w:gridCol w:w="2834"/>
      </w:tblGrid>
      <w:tr w:rsidR="00F35C2C" w:rsidRPr="008D4D83" w14:paraId="0EC8FAA5" w14:textId="77777777" w:rsidTr="00FC0A2F">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0" w:type="auto"/>
          </w:tcPr>
          <w:p w14:paraId="063CCD70" w14:textId="7D363CD6" w:rsidR="00F35C2C" w:rsidRPr="00C37080" w:rsidRDefault="007206B2" w:rsidP="009B1F29">
            <w:pPr>
              <w:pStyle w:val="ListParagraph"/>
              <w:spacing w:line="360" w:lineRule="auto"/>
              <w:ind w:left="0"/>
              <w:rPr>
                <w:rFonts w:cs="Calibri"/>
                <w:bCs w:val="0"/>
                <w:color w:val="000000" w:themeColor="text1"/>
                <w:sz w:val="24"/>
                <w:szCs w:val="24"/>
                <w:u w:val="single"/>
              </w:rPr>
            </w:pPr>
            <w:r>
              <w:rPr>
                <w:rFonts w:cs="Calibri"/>
                <w:bCs w:val="0"/>
                <w:color w:val="000000" w:themeColor="text1"/>
                <w:sz w:val="24"/>
                <w:szCs w:val="24"/>
                <w:u w:val="single"/>
              </w:rPr>
              <w:t>Minimalni iznos projekta</w:t>
            </w:r>
          </w:p>
        </w:tc>
        <w:tc>
          <w:tcPr>
            <w:tcW w:w="0" w:type="auto"/>
          </w:tcPr>
          <w:p w14:paraId="65A1E487" w14:textId="29C938C2" w:rsidR="00F35C2C" w:rsidRPr="00C37080" w:rsidRDefault="007206B2" w:rsidP="009B1F29">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cs="Calibri"/>
                <w:bCs w:val="0"/>
                <w:color w:val="000000" w:themeColor="text1"/>
                <w:sz w:val="24"/>
                <w:szCs w:val="24"/>
                <w:u w:val="single"/>
              </w:rPr>
            </w:pPr>
            <w:r>
              <w:rPr>
                <w:rFonts w:cs="Calibri"/>
                <w:bCs w:val="0"/>
                <w:color w:val="000000" w:themeColor="text1"/>
                <w:sz w:val="24"/>
                <w:szCs w:val="24"/>
                <w:u w:val="single"/>
              </w:rPr>
              <w:t>Maksimalni iznos projekta</w:t>
            </w:r>
          </w:p>
        </w:tc>
      </w:tr>
      <w:tr w:rsidR="00F35C2C" w:rsidRPr="008D4D83" w14:paraId="2DF69812" w14:textId="77777777" w:rsidTr="00FC0A2F">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Pr>
          <w:p w14:paraId="4F44391F" w14:textId="390B044F" w:rsidR="00F35C2C" w:rsidRPr="00F94BB4" w:rsidRDefault="00F35C2C" w:rsidP="00B23F38">
            <w:pPr>
              <w:pStyle w:val="ListParagraph"/>
              <w:spacing w:line="360" w:lineRule="auto"/>
              <w:ind w:left="0"/>
              <w:jc w:val="center"/>
              <w:rPr>
                <w:rFonts w:cs="Calibri"/>
                <w:b w:val="0"/>
                <w:bCs w:val="0"/>
                <w:color w:val="000000" w:themeColor="text1"/>
                <w:sz w:val="24"/>
                <w:szCs w:val="24"/>
                <w:u w:val="single"/>
              </w:rPr>
            </w:pPr>
            <w:r w:rsidRPr="00F94BB4">
              <w:rPr>
                <w:rFonts w:cs="Calibri"/>
                <w:b w:val="0"/>
                <w:bCs w:val="0"/>
                <w:color w:val="000000" w:themeColor="text1"/>
                <w:sz w:val="24"/>
                <w:szCs w:val="24"/>
              </w:rPr>
              <w:t>50,000.00€</w:t>
            </w:r>
          </w:p>
        </w:tc>
        <w:tc>
          <w:tcPr>
            <w:tcW w:w="0" w:type="auto"/>
          </w:tcPr>
          <w:p w14:paraId="07504869" w14:textId="7319B9CA" w:rsidR="00F35C2C" w:rsidRPr="00F94BB4" w:rsidRDefault="00701058" w:rsidP="00B23F3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Calibri"/>
                <w:bCs/>
                <w:color w:val="000000" w:themeColor="text1"/>
                <w:sz w:val="24"/>
                <w:szCs w:val="24"/>
                <w:u w:val="single"/>
              </w:rPr>
            </w:pPr>
            <w:r>
              <w:rPr>
                <w:rFonts w:cs="Calibri"/>
                <w:color w:val="000000" w:themeColor="text1"/>
                <w:sz w:val="24"/>
                <w:szCs w:val="24"/>
              </w:rPr>
              <w:t>30</w:t>
            </w:r>
            <w:r w:rsidR="00F35C2C" w:rsidRPr="00F94BB4">
              <w:rPr>
                <w:rFonts w:cs="Calibri"/>
                <w:color w:val="000000" w:themeColor="text1"/>
                <w:sz w:val="24"/>
                <w:szCs w:val="24"/>
              </w:rPr>
              <w:t>0,000.00€</w:t>
            </w:r>
          </w:p>
        </w:tc>
      </w:tr>
    </w:tbl>
    <w:p w14:paraId="72368DDD" w14:textId="77777777" w:rsidR="00C52545" w:rsidRPr="00C52545" w:rsidRDefault="00C52545" w:rsidP="00C52545">
      <w:pPr>
        <w:pStyle w:val="NoSpacing"/>
        <w:rPr>
          <w:rFonts w:cs="Calibri"/>
          <w:color w:val="000000" w:themeColor="text1"/>
          <w:sz w:val="24"/>
          <w:szCs w:val="24"/>
        </w:rPr>
      </w:pPr>
    </w:p>
    <w:p w14:paraId="31ED5A09" w14:textId="0BA152AD" w:rsidR="00C52545" w:rsidRPr="00C52545" w:rsidRDefault="00C52545" w:rsidP="00C52545">
      <w:pPr>
        <w:pStyle w:val="NoSpacing"/>
        <w:rPr>
          <w:rFonts w:cs="Calibri"/>
          <w:color w:val="000000" w:themeColor="text1"/>
          <w:sz w:val="24"/>
          <w:szCs w:val="24"/>
          <w:u w:val="single"/>
        </w:rPr>
      </w:pPr>
      <w:r w:rsidRPr="00C52545">
        <w:rPr>
          <w:rFonts w:cs="Calibri"/>
          <w:color w:val="000000" w:themeColor="text1"/>
          <w:sz w:val="24"/>
          <w:szCs w:val="24"/>
          <w:u w:val="single"/>
        </w:rPr>
        <w:t>Druga kategorija:</w:t>
      </w:r>
    </w:p>
    <w:p w14:paraId="1F65772D" w14:textId="77777777" w:rsidR="00C52545" w:rsidRPr="00C52545" w:rsidRDefault="00C52545" w:rsidP="00C52545">
      <w:pPr>
        <w:pStyle w:val="NoSpacing"/>
        <w:rPr>
          <w:rFonts w:cs="Calibri"/>
          <w:color w:val="000000" w:themeColor="text1"/>
          <w:sz w:val="24"/>
          <w:szCs w:val="24"/>
        </w:rPr>
      </w:pPr>
      <w:r w:rsidRPr="00C52545">
        <w:rPr>
          <w:rFonts w:cs="Calibri"/>
          <w:color w:val="000000" w:themeColor="text1"/>
          <w:sz w:val="24"/>
          <w:szCs w:val="24"/>
        </w:rPr>
        <w:t>Posvećen je projektima javne infrastrukture za regionalni društveno-ekonomski razvoj i projektima vezanim za ekonomske zone prema zahtevima opština u okviru poziva za podnošenje predloga projekata koji je raspisao MDR.</w:t>
      </w:r>
    </w:p>
    <w:p w14:paraId="1299A9D4" w14:textId="77777777" w:rsidR="00C52545" w:rsidRPr="00C52545" w:rsidRDefault="00C52545" w:rsidP="00C52545">
      <w:pPr>
        <w:pStyle w:val="NoSpacing"/>
        <w:rPr>
          <w:rFonts w:cs="Calibri"/>
          <w:color w:val="000000" w:themeColor="text1"/>
          <w:sz w:val="24"/>
          <w:szCs w:val="24"/>
        </w:rPr>
      </w:pPr>
    </w:p>
    <w:p w14:paraId="1B72432F" w14:textId="11899A84" w:rsidR="0016721A" w:rsidRDefault="00C52545" w:rsidP="00C52545">
      <w:pPr>
        <w:pStyle w:val="NoSpacing"/>
        <w:rPr>
          <w:rFonts w:cs="Calibri"/>
          <w:color w:val="000000" w:themeColor="text1"/>
          <w:sz w:val="24"/>
          <w:szCs w:val="24"/>
        </w:rPr>
      </w:pPr>
      <w:r w:rsidRPr="00C52545">
        <w:rPr>
          <w:rFonts w:cs="Calibri"/>
          <w:color w:val="000000" w:themeColor="text1"/>
          <w:sz w:val="24"/>
          <w:szCs w:val="24"/>
        </w:rPr>
        <w:t xml:space="preserve">Ako se u okviru ovog poziva </w:t>
      </w:r>
      <w:r w:rsidRPr="00C52545">
        <w:rPr>
          <w:rFonts w:cs="Calibri"/>
          <w:b/>
          <w:color w:val="000000" w:themeColor="text1"/>
          <w:sz w:val="24"/>
          <w:szCs w:val="24"/>
        </w:rPr>
        <w:t>prijave dve ili više opština</w:t>
      </w:r>
      <w:r w:rsidRPr="00C52545">
        <w:rPr>
          <w:rFonts w:cs="Calibri"/>
          <w:color w:val="000000" w:themeColor="text1"/>
          <w:sz w:val="24"/>
          <w:szCs w:val="24"/>
        </w:rPr>
        <w:t>, vrednost koju MDR zahteva za projekat mora biti u okviru sledećih vrednosti (minimalnih i maksimalnih):</w:t>
      </w:r>
    </w:p>
    <w:p w14:paraId="09AE6939" w14:textId="77777777" w:rsidR="00126E15" w:rsidRPr="008D4D83" w:rsidRDefault="00126E15" w:rsidP="00C52545">
      <w:pPr>
        <w:pStyle w:val="NoSpacing"/>
        <w:rPr>
          <w:rFonts w:cs="Calibri"/>
          <w:bCs/>
          <w:sz w:val="24"/>
          <w:szCs w:val="24"/>
          <w:u w:val="single"/>
        </w:rPr>
      </w:pPr>
    </w:p>
    <w:tbl>
      <w:tblPr>
        <w:tblStyle w:val="GridTable4-Accent1"/>
        <w:tblW w:w="0" w:type="auto"/>
        <w:jc w:val="center"/>
        <w:tblLook w:val="04A0" w:firstRow="1" w:lastRow="0" w:firstColumn="1" w:lastColumn="0" w:noHBand="0" w:noVBand="1"/>
      </w:tblPr>
      <w:tblGrid>
        <w:gridCol w:w="2834"/>
        <w:gridCol w:w="2834"/>
      </w:tblGrid>
      <w:tr w:rsidR="007206B2" w:rsidRPr="008D4D83" w14:paraId="4877F3E8" w14:textId="77777777" w:rsidTr="00FC0A2F">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0" w:type="auto"/>
          </w:tcPr>
          <w:p w14:paraId="5269D2F2" w14:textId="492EFF26" w:rsidR="007206B2" w:rsidRPr="00C37080" w:rsidRDefault="007206B2" w:rsidP="007206B2">
            <w:pPr>
              <w:pStyle w:val="ListParagraph"/>
              <w:spacing w:line="360" w:lineRule="auto"/>
              <w:ind w:left="0"/>
              <w:rPr>
                <w:rFonts w:cs="Calibri"/>
                <w:bCs w:val="0"/>
                <w:color w:val="000000" w:themeColor="text1"/>
                <w:sz w:val="24"/>
                <w:szCs w:val="24"/>
                <w:u w:val="single"/>
              </w:rPr>
            </w:pPr>
            <w:r>
              <w:rPr>
                <w:rFonts w:cs="Calibri"/>
                <w:bCs w:val="0"/>
                <w:color w:val="000000" w:themeColor="text1"/>
                <w:sz w:val="24"/>
                <w:szCs w:val="24"/>
                <w:u w:val="single"/>
              </w:rPr>
              <w:t>Maksimalni iznos projekta</w:t>
            </w:r>
          </w:p>
        </w:tc>
        <w:tc>
          <w:tcPr>
            <w:tcW w:w="0" w:type="auto"/>
          </w:tcPr>
          <w:p w14:paraId="40CE614F" w14:textId="49041E73" w:rsidR="007206B2" w:rsidRPr="00C37080" w:rsidRDefault="007206B2" w:rsidP="007206B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cs="Calibri"/>
                <w:bCs w:val="0"/>
                <w:color w:val="000000" w:themeColor="text1"/>
                <w:sz w:val="24"/>
                <w:szCs w:val="24"/>
                <w:u w:val="single"/>
              </w:rPr>
            </w:pPr>
            <w:r>
              <w:rPr>
                <w:rFonts w:cs="Calibri"/>
                <w:bCs w:val="0"/>
                <w:color w:val="000000" w:themeColor="text1"/>
                <w:sz w:val="24"/>
                <w:szCs w:val="24"/>
                <w:u w:val="single"/>
              </w:rPr>
              <w:t>Maksimalni iznos projekta</w:t>
            </w:r>
          </w:p>
        </w:tc>
      </w:tr>
      <w:tr w:rsidR="007206B2" w:rsidRPr="008D4D83" w14:paraId="4B2D5088" w14:textId="77777777" w:rsidTr="00FC0A2F">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Pr>
          <w:p w14:paraId="3CD4EDD0" w14:textId="5433D89D" w:rsidR="007206B2" w:rsidRPr="00F94BB4" w:rsidRDefault="007206B2" w:rsidP="007206B2">
            <w:pPr>
              <w:pStyle w:val="ListParagraph"/>
              <w:spacing w:line="360" w:lineRule="auto"/>
              <w:ind w:left="0"/>
              <w:jc w:val="center"/>
              <w:rPr>
                <w:rFonts w:cs="Calibri"/>
                <w:b w:val="0"/>
                <w:bCs w:val="0"/>
                <w:color w:val="000000" w:themeColor="text1"/>
                <w:sz w:val="24"/>
                <w:szCs w:val="24"/>
                <w:u w:val="single"/>
              </w:rPr>
            </w:pPr>
            <w:r w:rsidRPr="00F94BB4">
              <w:rPr>
                <w:rFonts w:cs="Calibri"/>
                <w:b w:val="0"/>
                <w:bCs w:val="0"/>
                <w:color w:val="000000" w:themeColor="text1"/>
                <w:sz w:val="24"/>
                <w:szCs w:val="24"/>
              </w:rPr>
              <w:t>100,000.00€</w:t>
            </w:r>
          </w:p>
        </w:tc>
        <w:tc>
          <w:tcPr>
            <w:tcW w:w="0" w:type="auto"/>
          </w:tcPr>
          <w:p w14:paraId="4FB418EE" w14:textId="07099EB9" w:rsidR="007206B2" w:rsidRPr="00F94BB4" w:rsidRDefault="007206B2" w:rsidP="007206B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Calibri"/>
                <w:bCs/>
                <w:color w:val="000000" w:themeColor="text1"/>
                <w:sz w:val="24"/>
                <w:szCs w:val="24"/>
                <w:u w:val="single"/>
              </w:rPr>
            </w:pPr>
            <w:r w:rsidRPr="00F94BB4">
              <w:rPr>
                <w:rFonts w:cs="Calibri"/>
                <w:color w:val="000000" w:themeColor="text1"/>
                <w:sz w:val="24"/>
                <w:szCs w:val="24"/>
              </w:rPr>
              <w:t>300,000.00€</w:t>
            </w:r>
          </w:p>
        </w:tc>
      </w:tr>
    </w:tbl>
    <w:p w14:paraId="113DFCC5" w14:textId="77777777" w:rsidR="00C52545" w:rsidRPr="006A0C92" w:rsidRDefault="00C52545" w:rsidP="006A0C92">
      <w:pPr>
        <w:spacing w:after="60" w:line="259" w:lineRule="auto"/>
        <w:rPr>
          <w:rFonts w:cs="Calibri"/>
          <w:sz w:val="24"/>
          <w:szCs w:val="24"/>
          <w:u w:val="single"/>
        </w:rPr>
      </w:pPr>
      <w:r w:rsidRPr="006A0C92">
        <w:rPr>
          <w:rFonts w:cs="Calibri"/>
          <w:sz w:val="24"/>
          <w:szCs w:val="24"/>
          <w:u w:val="single"/>
        </w:rPr>
        <w:t>Treća kategorija:</w:t>
      </w:r>
    </w:p>
    <w:p w14:paraId="733C7057" w14:textId="70F996A0" w:rsidR="0016721A" w:rsidRPr="006A0C92" w:rsidRDefault="00C52545" w:rsidP="006A0C92">
      <w:pPr>
        <w:spacing w:after="60" w:line="259" w:lineRule="auto"/>
        <w:rPr>
          <w:rFonts w:cs="Calibri"/>
          <w:sz w:val="24"/>
          <w:szCs w:val="24"/>
        </w:rPr>
      </w:pPr>
      <w:r w:rsidRPr="006A0C92">
        <w:rPr>
          <w:rFonts w:cs="Calibri"/>
          <w:sz w:val="24"/>
          <w:szCs w:val="24"/>
        </w:rPr>
        <w:t>Posvećen je zahtevima opština koje tokom 202</w:t>
      </w:r>
      <w:r w:rsidR="00126E15" w:rsidRPr="006A0C92">
        <w:rPr>
          <w:rFonts w:cs="Calibri"/>
          <w:sz w:val="24"/>
          <w:szCs w:val="24"/>
        </w:rPr>
        <w:t>3</w:t>
      </w:r>
      <w:r w:rsidRPr="006A0C92">
        <w:rPr>
          <w:rFonts w:cs="Calibri"/>
          <w:sz w:val="24"/>
          <w:szCs w:val="24"/>
        </w:rPr>
        <w:t>. godine nisu uspele da u potpunosti realizuju projekte za koje imaju Memorandum o razumevanju sa MRR-om</w:t>
      </w:r>
      <w:r w:rsidR="00126E15" w:rsidRPr="006A0C92">
        <w:rPr>
          <w:rFonts w:cs="Calibri"/>
          <w:sz w:val="24"/>
          <w:szCs w:val="24"/>
        </w:rPr>
        <w:t xml:space="preserve"> kao i opštine koje mogu podneti zahteve za finansiranje tokom 2024. Godine.</w:t>
      </w:r>
    </w:p>
    <w:p w14:paraId="0DCE9177" w14:textId="77777777" w:rsidR="00C52545" w:rsidRPr="008D4D83" w:rsidRDefault="00C52545" w:rsidP="00C52545">
      <w:pPr>
        <w:pStyle w:val="ListParagraph"/>
        <w:spacing w:after="60" w:line="259" w:lineRule="auto"/>
        <w:ind w:left="510"/>
        <w:rPr>
          <w:rFonts w:cs="Calibri"/>
          <w:color w:val="0070C0"/>
          <w:sz w:val="24"/>
          <w:szCs w:val="24"/>
        </w:rPr>
      </w:pPr>
    </w:p>
    <w:tbl>
      <w:tblPr>
        <w:tblStyle w:val="GridTable4-Accent1"/>
        <w:tblW w:w="0" w:type="auto"/>
        <w:jc w:val="center"/>
        <w:tblLook w:val="04A0" w:firstRow="1" w:lastRow="0" w:firstColumn="1" w:lastColumn="0" w:noHBand="0" w:noVBand="1"/>
      </w:tblPr>
      <w:tblGrid>
        <w:gridCol w:w="2834"/>
        <w:gridCol w:w="2834"/>
      </w:tblGrid>
      <w:tr w:rsidR="007206B2" w:rsidRPr="008D4D83" w14:paraId="46563527" w14:textId="77777777" w:rsidTr="00133679">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0" w:type="auto"/>
          </w:tcPr>
          <w:p w14:paraId="6E750894" w14:textId="727F5223" w:rsidR="007206B2" w:rsidRPr="00C37080" w:rsidRDefault="007206B2" w:rsidP="007206B2">
            <w:pPr>
              <w:pStyle w:val="ListParagraph"/>
              <w:spacing w:line="360" w:lineRule="auto"/>
              <w:ind w:left="0"/>
              <w:rPr>
                <w:rFonts w:cs="Calibri"/>
                <w:bCs w:val="0"/>
                <w:color w:val="000000" w:themeColor="text1"/>
                <w:sz w:val="24"/>
                <w:szCs w:val="24"/>
                <w:u w:val="single"/>
              </w:rPr>
            </w:pPr>
            <w:r>
              <w:rPr>
                <w:rFonts w:cs="Calibri"/>
                <w:bCs w:val="0"/>
                <w:color w:val="000000" w:themeColor="text1"/>
                <w:sz w:val="24"/>
                <w:szCs w:val="24"/>
                <w:u w:val="single"/>
              </w:rPr>
              <w:t>Maksimalni iznos projekta</w:t>
            </w:r>
          </w:p>
        </w:tc>
        <w:tc>
          <w:tcPr>
            <w:tcW w:w="0" w:type="auto"/>
          </w:tcPr>
          <w:p w14:paraId="1AD707E2" w14:textId="71A0F3F9" w:rsidR="007206B2" w:rsidRPr="00C37080" w:rsidRDefault="007206B2" w:rsidP="007206B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cs="Calibri"/>
                <w:bCs w:val="0"/>
                <w:color w:val="000000" w:themeColor="text1"/>
                <w:sz w:val="24"/>
                <w:szCs w:val="24"/>
                <w:u w:val="single"/>
              </w:rPr>
            </w:pPr>
            <w:r>
              <w:rPr>
                <w:rFonts w:cs="Calibri"/>
                <w:bCs w:val="0"/>
                <w:color w:val="000000" w:themeColor="text1"/>
                <w:sz w:val="24"/>
                <w:szCs w:val="24"/>
                <w:u w:val="single"/>
              </w:rPr>
              <w:t>Maksimalni iznos projekta</w:t>
            </w:r>
          </w:p>
        </w:tc>
      </w:tr>
      <w:tr w:rsidR="007206B2" w:rsidRPr="008D4D83" w14:paraId="33F22D13" w14:textId="77777777" w:rsidTr="000A1B23">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74420104" w14:textId="69F53D39" w:rsidR="007206B2" w:rsidRPr="00F94BB4" w:rsidRDefault="007206B2" w:rsidP="007206B2">
            <w:pPr>
              <w:pStyle w:val="ListParagraph"/>
              <w:spacing w:line="360" w:lineRule="auto"/>
              <w:ind w:left="0"/>
              <w:jc w:val="center"/>
              <w:rPr>
                <w:rFonts w:cs="Calibri"/>
                <w:b w:val="0"/>
                <w:bCs w:val="0"/>
                <w:sz w:val="24"/>
                <w:szCs w:val="24"/>
                <w:u w:val="single"/>
              </w:rPr>
            </w:pPr>
            <w:r w:rsidRPr="00F94BB4">
              <w:rPr>
                <w:rFonts w:cs="Calibri"/>
                <w:b w:val="0"/>
                <w:bCs w:val="0"/>
                <w:color w:val="000000" w:themeColor="text1"/>
                <w:sz w:val="24"/>
                <w:szCs w:val="24"/>
              </w:rPr>
              <w:t>20,000.00€</w:t>
            </w:r>
          </w:p>
        </w:tc>
        <w:tc>
          <w:tcPr>
            <w:tcW w:w="0" w:type="auto"/>
          </w:tcPr>
          <w:p w14:paraId="232DED37" w14:textId="628B7790" w:rsidR="007206B2" w:rsidRPr="00F94BB4" w:rsidRDefault="007206B2" w:rsidP="007206B2">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Calibri"/>
                <w:bCs/>
                <w:sz w:val="24"/>
                <w:szCs w:val="24"/>
                <w:u w:val="single"/>
              </w:rPr>
            </w:pPr>
            <w:r w:rsidRPr="00F94BB4">
              <w:rPr>
                <w:rFonts w:cs="Calibri"/>
                <w:sz w:val="24"/>
                <w:szCs w:val="24"/>
              </w:rPr>
              <w:t>100,000.00€</w:t>
            </w:r>
          </w:p>
        </w:tc>
      </w:tr>
    </w:tbl>
    <w:p w14:paraId="52D13964" w14:textId="77777777" w:rsidR="008D4D83" w:rsidRDefault="008D4D83" w:rsidP="00411DD4">
      <w:pPr>
        <w:pStyle w:val="NoSpacing"/>
        <w:rPr>
          <w:rFonts w:cs="Calibri"/>
          <w:sz w:val="24"/>
          <w:szCs w:val="24"/>
        </w:rPr>
      </w:pPr>
    </w:p>
    <w:p w14:paraId="138B20DB" w14:textId="0FBDA0E6" w:rsidR="00126E15" w:rsidRPr="00C52545" w:rsidRDefault="00126E15" w:rsidP="00126E15">
      <w:pPr>
        <w:pStyle w:val="NoSpacing"/>
        <w:rPr>
          <w:rFonts w:cs="Calibri"/>
          <w:color w:val="000000" w:themeColor="text1"/>
          <w:sz w:val="24"/>
          <w:szCs w:val="24"/>
        </w:rPr>
      </w:pPr>
      <w:r>
        <w:rPr>
          <w:rFonts w:cs="Calibri"/>
          <w:color w:val="000000" w:themeColor="text1"/>
          <w:sz w:val="24"/>
          <w:szCs w:val="24"/>
        </w:rPr>
        <w:t>Za sve</w:t>
      </w:r>
      <w:r w:rsidRPr="00C52545">
        <w:rPr>
          <w:rFonts w:cs="Calibri"/>
          <w:color w:val="000000" w:themeColor="text1"/>
          <w:sz w:val="24"/>
          <w:szCs w:val="24"/>
        </w:rPr>
        <w:t xml:space="preserve"> slučajevima kada predlog projekta ima prostorije koje ispunjavaju kriterijume iu skladu </w:t>
      </w:r>
      <w:r>
        <w:rPr>
          <w:rFonts w:cs="Calibri"/>
          <w:color w:val="000000" w:themeColor="text1"/>
          <w:sz w:val="24"/>
          <w:szCs w:val="24"/>
        </w:rPr>
        <w:t>su sa mandatom MR</w:t>
      </w:r>
      <w:r w:rsidRPr="00C52545">
        <w:rPr>
          <w:rFonts w:cs="Calibri"/>
          <w:color w:val="000000" w:themeColor="text1"/>
          <w:sz w:val="24"/>
          <w:szCs w:val="24"/>
        </w:rPr>
        <w:t>R-a, onda predlog projekta može premašiti ove vrednosti, ali će se finansiranje i implementacija projekta nastaviti duže od jedne (1) godine.</w:t>
      </w:r>
    </w:p>
    <w:p w14:paraId="42831F42" w14:textId="77777777" w:rsidR="00126E15" w:rsidRDefault="00126E15" w:rsidP="00C52545">
      <w:pPr>
        <w:pStyle w:val="NoSpacing"/>
        <w:rPr>
          <w:rFonts w:cs="Calibri"/>
          <w:sz w:val="24"/>
          <w:szCs w:val="24"/>
        </w:rPr>
      </w:pPr>
    </w:p>
    <w:p w14:paraId="041569D7" w14:textId="3B5309CF" w:rsidR="00C52545" w:rsidRPr="00C52545" w:rsidRDefault="00C52545" w:rsidP="00C52545">
      <w:pPr>
        <w:pStyle w:val="NoSpacing"/>
        <w:rPr>
          <w:rFonts w:cs="Calibri"/>
          <w:sz w:val="24"/>
          <w:szCs w:val="24"/>
        </w:rPr>
      </w:pPr>
      <w:r w:rsidRPr="00C52545">
        <w:rPr>
          <w:rFonts w:cs="Calibri"/>
          <w:sz w:val="24"/>
          <w:szCs w:val="24"/>
        </w:rPr>
        <w:t>Svi predloženi budžetski rashodi moraju biti kvalifikovani prema kosovskom LMFPP (Zakon o upravljanju javnim finansijama i odgovornosti) i Zakonu o javnim nabavkama Kosova (PLPPK) koji se moraju primenjivati u svakom trenutku.</w:t>
      </w:r>
    </w:p>
    <w:p w14:paraId="448A1A9F" w14:textId="77777777" w:rsidR="00C52545" w:rsidRPr="00C52545" w:rsidRDefault="00C52545" w:rsidP="00C52545">
      <w:pPr>
        <w:pStyle w:val="NoSpacing"/>
        <w:rPr>
          <w:rFonts w:cs="Calibri"/>
          <w:sz w:val="24"/>
          <w:szCs w:val="24"/>
        </w:rPr>
      </w:pPr>
    </w:p>
    <w:p w14:paraId="2A7058EF" w14:textId="6F089249" w:rsidR="00C37080" w:rsidRDefault="00C52545" w:rsidP="00C52545">
      <w:pPr>
        <w:pStyle w:val="NoSpacing"/>
        <w:rPr>
          <w:rFonts w:cs="Calibri"/>
          <w:sz w:val="24"/>
          <w:szCs w:val="24"/>
        </w:rPr>
      </w:pPr>
      <w:r w:rsidRPr="00C52545">
        <w:rPr>
          <w:rFonts w:cs="Calibri"/>
          <w:sz w:val="24"/>
          <w:szCs w:val="24"/>
        </w:rPr>
        <w:t>Softversk</w:t>
      </w:r>
      <w:r>
        <w:rPr>
          <w:rFonts w:cs="Calibri"/>
          <w:sz w:val="24"/>
          <w:szCs w:val="24"/>
        </w:rPr>
        <w:t>e projekte razvija direktno MRR</w:t>
      </w:r>
      <w:r w:rsidRPr="00C52545">
        <w:rPr>
          <w:rFonts w:cs="Calibri"/>
          <w:sz w:val="24"/>
          <w:szCs w:val="24"/>
        </w:rPr>
        <w:t>.</w:t>
      </w:r>
    </w:p>
    <w:p w14:paraId="40027D82" w14:textId="3A95BAD8" w:rsidR="00EC5D9F" w:rsidRDefault="00EC5D9F" w:rsidP="00B23F38">
      <w:pPr>
        <w:pStyle w:val="NoSpacing"/>
        <w:rPr>
          <w:rFonts w:cs="Calibri"/>
          <w:sz w:val="24"/>
          <w:szCs w:val="24"/>
        </w:rPr>
      </w:pPr>
    </w:p>
    <w:p w14:paraId="6E720A31" w14:textId="77777777" w:rsidR="00C52545" w:rsidRPr="00C52545" w:rsidRDefault="00C52545" w:rsidP="00610A38">
      <w:pPr>
        <w:pStyle w:val="Heading1"/>
      </w:pPr>
      <w:bookmarkStart w:id="6" w:name="_Toc143090828"/>
      <w:r w:rsidRPr="00C52545">
        <w:t>KRITERIJUMI</w:t>
      </w:r>
      <w:bookmarkEnd w:id="6"/>
    </w:p>
    <w:p w14:paraId="5636010E" w14:textId="77777777" w:rsidR="00C52545" w:rsidRPr="00C52545" w:rsidRDefault="00C52545" w:rsidP="00C52545">
      <w:pPr>
        <w:spacing w:after="0"/>
        <w:rPr>
          <w:rFonts w:eastAsiaTheme="majorEastAsia" w:cs="Calibri"/>
          <w:b/>
          <w:color w:val="000000" w:themeColor="text1"/>
          <w:sz w:val="24"/>
          <w:szCs w:val="24"/>
          <w:u w:val="single"/>
        </w:rPr>
      </w:pPr>
      <w:r w:rsidRPr="00C52545">
        <w:rPr>
          <w:rFonts w:eastAsiaTheme="majorEastAsia" w:cs="Calibri"/>
          <w:b/>
          <w:color w:val="000000" w:themeColor="text1"/>
          <w:sz w:val="24"/>
          <w:szCs w:val="24"/>
          <w:u w:val="single"/>
        </w:rPr>
        <w:t>Kriterijumi za kandidate:</w:t>
      </w:r>
    </w:p>
    <w:p w14:paraId="70D368E0" w14:textId="77777777" w:rsidR="00C52545" w:rsidRPr="00C52545" w:rsidRDefault="00C52545" w:rsidP="00C52545">
      <w:pPr>
        <w:spacing w:after="0"/>
        <w:rPr>
          <w:rFonts w:eastAsiaTheme="majorEastAsia" w:cs="Calibri"/>
          <w:color w:val="000000" w:themeColor="text1"/>
          <w:sz w:val="24"/>
          <w:szCs w:val="24"/>
        </w:rPr>
      </w:pPr>
      <w:r w:rsidRPr="00C52545">
        <w:rPr>
          <w:rFonts w:eastAsiaTheme="majorEastAsia" w:cs="Calibri"/>
          <w:color w:val="000000" w:themeColor="text1"/>
          <w:sz w:val="24"/>
          <w:szCs w:val="24"/>
        </w:rPr>
        <w:t xml:space="preserve">Svaka od 38 opština na Kosovu može se prijaviti za Program regionalnog razvoja. Drugi potencijalni aplikanti, kao što su saveti zajednica, nevladine organizacije, razna udruženja, itd., treba da se obrate svojim </w:t>
      </w:r>
      <w:r w:rsidRPr="00DF13C1">
        <w:rPr>
          <w:rFonts w:eastAsia="Calibri" w:cs="Calibri"/>
          <w:sz w:val="24"/>
        </w:rPr>
        <w:t>zahtevima preko opština.</w:t>
      </w:r>
    </w:p>
    <w:p w14:paraId="796B3DB3" w14:textId="77777777" w:rsidR="00C52545" w:rsidRPr="00C52545" w:rsidRDefault="00C52545" w:rsidP="00C52545">
      <w:pPr>
        <w:spacing w:after="0"/>
        <w:rPr>
          <w:rFonts w:eastAsiaTheme="majorEastAsia" w:cs="Calibri"/>
          <w:b/>
          <w:color w:val="000000" w:themeColor="text1"/>
          <w:sz w:val="24"/>
          <w:szCs w:val="24"/>
          <w:u w:val="single"/>
        </w:rPr>
      </w:pPr>
    </w:p>
    <w:p w14:paraId="222B04A0" w14:textId="1798A7AA" w:rsidR="00C52545" w:rsidRDefault="0041360B" w:rsidP="00C52545">
      <w:pPr>
        <w:spacing w:after="0"/>
        <w:rPr>
          <w:rFonts w:eastAsiaTheme="majorEastAsia" w:cs="Calibri"/>
          <w:b/>
          <w:color w:val="000000" w:themeColor="text1"/>
          <w:sz w:val="24"/>
          <w:szCs w:val="24"/>
          <w:u w:val="single"/>
        </w:rPr>
      </w:pPr>
      <w:r w:rsidRPr="0041360B">
        <w:rPr>
          <w:rFonts w:eastAsiaTheme="majorEastAsia" w:cs="Calibri"/>
          <w:b/>
          <w:color w:val="000000" w:themeColor="text1"/>
          <w:sz w:val="24"/>
          <w:szCs w:val="24"/>
          <w:u w:val="single"/>
        </w:rPr>
        <w:t>Administrativni i sadržajni kriterijumi projekta</w:t>
      </w:r>
      <w:r w:rsidR="00C52545" w:rsidRPr="00C52545">
        <w:rPr>
          <w:rFonts w:eastAsiaTheme="majorEastAsia" w:cs="Calibri"/>
          <w:b/>
          <w:color w:val="000000" w:themeColor="text1"/>
          <w:sz w:val="24"/>
          <w:szCs w:val="24"/>
          <w:u w:val="single"/>
        </w:rPr>
        <w:t>:</w:t>
      </w:r>
    </w:p>
    <w:p w14:paraId="64542078" w14:textId="77777777" w:rsidR="006A0C92" w:rsidRDefault="00DF13C1" w:rsidP="006A0C92">
      <w:pPr>
        <w:pStyle w:val="ListParagraph"/>
        <w:numPr>
          <w:ilvl w:val="0"/>
          <w:numId w:val="48"/>
        </w:numPr>
        <w:spacing w:after="0"/>
        <w:ind w:left="0" w:firstLine="0"/>
        <w:rPr>
          <w:rFonts w:eastAsiaTheme="majorEastAsia" w:cs="Calibri"/>
          <w:color w:val="000000" w:themeColor="text1"/>
          <w:sz w:val="24"/>
          <w:szCs w:val="24"/>
        </w:rPr>
      </w:pPr>
      <w:r w:rsidRPr="00DF13C1">
        <w:rPr>
          <w:rFonts w:eastAsiaTheme="majorEastAsia" w:cs="Calibri"/>
          <w:color w:val="000000" w:themeColor="text1"/>
          <w:sz w:val="24"/>
          <w:szCs w:val="24"/>
        </w:rPr>
        <w:t>Opština je dužna da predloži idejni projekat sa grafičkim delom u vidu idejnog projekta prema predloženom projektu i okvirne finansijske troškove koji su kompatibilni sa opštim ciljem Programa regionalnog razvoja; kao i u skladu sa Regionalnim/lokalnim razvojnim strategijama u slučajevima kada su one izrađene</w:t>
      </w:r>
      <w:r>
        <w:rPr>
          <w:rFonts w:eastAsiaTheme="majorEastAsia" w:cs="Calibri"/>
          <w:color w:val="000000" w:themeColor="text1"/>
          <w:sz w:val="24"/>
          <w:szCs w:val="24"/>
        </w:rPr>
        <w:t>;</w:t>
      </w:r>
    </w:p>
    <w:p w14:paraId="3268B4DE" w14:textId="1084C7B7" w:rsidR="00C52545" w:rsidRPr="006A0C92" w:rsidRDefault="00C52545" w:rsidP="006A0C92">
      <w:pPr>
        <w:pStyle w:val="ListParagraph"/>
        <w:numPr>
          <w:ilvl w:val="0"/>
          <w:numId w:val="48"/>
        </w:numPr>
        <w:spacing w:after="0"/>
        <w:ind w:left="0" w:firstLine="0"/>
        <w:rPr>
          <w:rFonts w:eastAsiaTheme="majorEastAsia" w:cs="Calibri"/>
          <w:color w:val="000000" w:themeColor="text1"/>
          <w:sz w:val="24"/>
          <w:szCs w:val="24"/>
        </w:rPr>
      </w:pPr>
      <w:r w:rsidRPr="006A0C92">
        <w:rPr>
          <w:rFonts w:cs="Calibri"/>
          <w:color w:val="000000" w:themeColor="text1"/>
          <w:sz w:val="24"/>
          <w:szCs w:val="24"/>
        </w:rPr>
        <w:t>Pored društveno-ekonomskog uticaja, projekat mora doprineti zaštiti i razvoju prirodne sredine ili omogućiti ublažavanje rizika od prirodnih katastrofa i njihovih posledica. Za projekte sa značajnim ekonomskim uticajem primeniće se Procena uticaja na životnu sredinu (EIA) u skladu sa važećim zakonodavstvom u slučaju da projekat bude izabran za sufinansiranje.</w:t>
      </w:r>
    </w:p>
    <w:p w14:paraId="75EF7A05" w14:textId="77777777" w:rsidR="00C52545" w:rsidRPr="00C52545" w:rsidRDefault="00C52545" w:rsidP="002F5B8A">
      <w:r w:rsidRPr="00C52545">
        <w:t>3. Opština mora da obezbedi da se identifikacija i odabir projekta vrši kroz sveobuhvatan i participativan proces koristeći najmanje jednu metodologiju (fizički ili onlajn javni sastanci, radionice, istraživanje, upitnici ili bilo koji drugi primenljivi metod). Dokazi o ovom procesu (izveštaji, fotografije, spisak učesnika) nalaze se u prilogu prijave.</w:t>
      </w:r>
    </w:p>
    <w:p w14:paraId="7F28F5B1" w14:textId="77777777" w:rsidR="00C52545" w:rsidRPr="00C52545" w:rsidRDefault="00C52545" w:rsidP="002F5B8A">
      <w:r w:rsidRPr="00C52545">
        <w:t>4. Projekti moraju biti novi projekti a ne nastavak bilo kog drugog projekta (osim u slučajevima kada je projekat prenet iz prethodne godine finansiran od strane MDR-a i za koji opština daje dovoljan razlog);</w:t>
      </w:r>
    </w:p>
    <w:p w14:paraId="61668C72" w14:textId="77777777" w:rsidR="00C52545" w:rsidRPr="00C52545" w:rsidRDefault="00C52545" w:rsidP="002F5B8A">
      <w:r w:rsidRPr="00C52545">
        <w:t>5. Projekat mora sadržati realan i izvodljiv plan upravljanja.</w:t>
      </w:r>
    </w:p>
    <w:p w14:paraId="3626E913" w14:textId="77777777" w:rsidR="00C52545" w:rsidRPr="00C52545" w:rsidRDefault="00C52545" w:rsidP="002F5B8A">
      <w:r w:rsidRPr="00C52545">
        <w:t>6. Opštine se podstiču da apliciraju sa zajedničkim projektima (dve ili više opština).</w:t>
      </w:r>
    </w:p>
    <w:p w14:paraId="0DC85AD1" w14:textId="77777777" w:rsidR="00C52545" w:rsidRPr="00C52545" w:rsidRDefault="00C52545" w:rsidP="002F5B8A">
      <w:r w:rsidRPr="00C52545">
        <w:lastRenderedPageBreak/>
        <w:t>7. Minimalno sufinansiranje od strane opština za projekte je 20% od vrednosti Ugovora potpisanog od strane opština sa EO (ekonomskim operaterom).</w:t>
      </w:r>
    </w:p>
    <w:p w14:paraId="5A50C064" w14:textId="5C323539" w:rsidR="00C52545" w:rsidRPr="00C52545" w:rsidRDefault="00C52545" w:rsidP="002F5B8A">
      <w:r w:rsidRPr="00C52545">
        <w:t>8. MR</w:t>
      </w:r>
      <w:r w:rsidR="00DF13C1">
        <w:t>D</w:t>
      </w:r>
      <w:r w:rsidRPr="00C52545">
        <w:t xml:space="preserve"> ohrabruje i pozdravlja pronalaženje donatora od strane opština za sufinansiranje njihovih predloga projekata u slučajevima kada iznosi projekata premašuju budžetske mogućnosti MDHR-a i opštine (Tripartitni sporazum), pošto su opštine slobodne pronaći Donatore za pokriće minimalnog iznosa (od 20%) koji opština dobija kao obavezu za sufinansiranje.</w:t>
      </w:r>
    </w:p>
    <w:p w14:paraId="66F1AC92" w14:textId="77777777" w:rsidR="00C52545" w:rsidRPr="00C52545" w:rsidRDefault="00C52545" w:rsidP="002F5B8A">
      <w:r w:rsidRPr="00C52545">
        <w:t>9. Budite realni i primenljivi u okviru Programa regionalnog razvoja, odnosno:</w:t>
      </w:r>
    </w:p>
    <w:p w14:paraId="60763A9F" w14:textId="20BB8178" w:rsidR="00C52545" w:rsidRPr="00C52545" w:rsidRDefault="00C52545" w:rsidP="002F5B8A">
      <w:r w:rsidRPr="00C52545">
        <w:t>- projekat mora biti završen u roku od 202</w:t>
      </w:r>
      <w:r w:rsidR="00DF13C1">
        <w:t>4</w:t>
      </w:r>
      <w:r w:rsidRPr="00C52545">
        <w:t>. godine (osim projekata koje MO smatra projektima čije će finansiranje i implementacija trajati duže od godinu dana). O tome svedoči dinamički plan priložen uz prijavu; I</w:t>
      </w:r>
    </w:p>
    <w:p w14:paraId="7CEA9BCF" w14:textId="77777777" w:rsidR="00C52545" w:rsidRPr="00C52545" w:rsidRDefault="00C52545" w:rsidP="002F5B8A">
      <w:r w:rsidRPr="00C52545">
        <w:t>- lokacija projekta treba da bude vlasništvo opštine ili druga javna svojina na kojoj opština ima formalno pravo da realizuje projekat na toj lokaciji i sva imovina i prava pripadaju opštini kada je projekat u funkciji. Čak iu ovom slučaju, uz prijavu moraju biti priloženi dokazi o imovini ili sporazum o formalnom pristupu.</w:t>
      </w:r>
    </w:p>
    <w:p w14:paraId="51A00CDC" w14:textId="75FE7909" w:rsidR="00256182" w:rsidRPr="00256182" w:rsidRDefault="00256182" w:rsidP="006A0C92">
      <w:pPr>
        <w:pStyle w:val="Heading1"/>
        <w:spacing w:before="0"/>
        <w:rPr>
          <w:rFonts w:ascii="Calibri" w:hAnsi="Calibri" w:cs="Calibri"/>
          <w:color w:val="548DD4" w:themeColor="text2" w:themeTint="99"/>
        </w:rPr>
      </w:pPr>
      <w:bookmarkStart w:id="7" w:name="_Toc143090829"/>
      <w:r w:rsidRPr="00256182">
        <w:rPr>
          <w:rFonts w:ascii="Calibri" w:hAnsi="Calibri" w:cs="Calibri"/>
          <w:color w:val="548DD4" w:themeColor="text2" w:themeTint="99"/>
        </w:rPr>
        <w:t>KAKO SE PRIJAVITI</w:t>
      </w:r>
      <w:bookmarkEnd w:id="7"/>
    </w:p>
    <w:p w14:paraId="041A334F" w14:textId="77777777" w:rsidR="00256182" w:rsidRPr="00256182" w:rsidRDefault="00256182" w:rsidP="006A5D65">
      <w:r w:rsidRPr="00256182">
        <w:t>Ovaj vodič i prijavni obrasci u fizičkim kopijama nalaze se u Ministarstvu regionalnog razvoja, ali su isti objavljeni na sajtu MDR-a.</w:t>
      </w:r>
    </w:p>
    <w:p w14:paraId="36030DE4" w14:textId="77777777" w:rsidR="00256182" w:rsidRPr="00256182" w:rsidRDefault="00256182" w:rsidP="006A5D65">
      <w:r w:rsidRPr="00256182">
        <w:t>Pitanja na obrascu za prijavu treba da budu popunjena što je moguće više i jasnije. Sva pitanja u obrascu su važna za podnosioce prijava, ali posebnu pažnju treba obratiti na sledeće:</w:t>
      </w:r>
    </w:p>
    <w:p w14:paraId="4E7E4113" w14:textId="77777777" w:rsidR="00256182" w:rsidRPr="00256182" w:rsidRDefault="00256182" w:rsidP="006A5D65">
      <w:r w:rsidRPr="00256182">
        <w:t>• Opšta svrha i ciljevi projekta</w:t>
      </w:r>
    </w:p>
    <w:p w14:paraId="5C93477F" w14:textId="77777777" w:rsidR="00256182" w:rsidRPr="00256182" w:rsidRDefault="00256182" w:rsidP="006A5D65">
      <w:r w:rsidRPr="00256182">
        <w:t>• Zašto je projekat neophodan?</w:t>
      </w:r>
    </w:p>
    <w:p w14:paraId="192ACBEC" w14:textId="77777777" w:rsidR="00256182" w:rsidRPr="00256182" w:rsidRDefault="00256182" w:rsidP="006A5D65">
      <w:r w:rsidRPr="00256182">
        <w:t>• Koji su direktni rezultati projekta</w:t>
      </w:r>
    </w:p>
    <w:p w14:paraId="19DDEF15" w14:textId="77777777" w:rsidR="00256182" w:rsidRPr="00256182" w:rsidRDefault="00256182" w:rsidP="006A5D65">
      <w:r w:rsidRPr="00256182">
        <w:t>• Može li projekat biti završen na vreme?</w:t>
      </w:r>
    </w:p>
    <w:p w14:paraId="7229C401" w14:textId="77777777" w:rsidR="00256182" w:rsidRPr="00256182" w:rsidRDefault="00256182" w:rsidP="006A5D65">
      <w:r w:rsidRPr="00256182">
        <w:t>• Održivost projekta</w:t>
      </w:r>
    </w:p>
    <w:p w14:paraId="4751503A" w14:textId="77777777" w:rsidR="00256182" w:rsidRPr="00256182" w:rsidRDefault="00256182" w:rsidP="006A5D65">
      <w:r w:rsidRPr="00256182">
        <w:t>• Aspekt životne sredine</w:t>
      </w:r>
    </w:p>
    <w:p w14:paraId="622B7657" w14:textId="16E6B9EF" w:rsidR="00256182" w:rsidRPr="00256182" w:rsidRDefault="00256182" w:rsidP="006A5D65">
      <w:r w:rsidRPr="00256182">
        <w:t>Ako opština ima saglasnost ili saradnju za svoje projekte sa nadležnim ministarstvima, uz zahtev se moraju priložiti podaci. Takva saradnja je često neophodna za projekte koji se odnose na turizam, poljoprivredu, životnu sredinu i drugu opštinsku infrastrukturu.</w:t>
      </w:r>
    </w:p>
    <w:p w14:paraId="3867CD5C" w14:textId="149E724E" w:rsidR="00256182" w:rsidRPr="00256182" w:rsidRDefault="00256182" w:rsidP="006A5D65">
      <w:r w:rsidRPr="00256182">
        <w:t xml:space="preserve">Obrazac prijave nalazi se u prilogu (1) i mora se popuniti elektronski. Mora se dostaviti MDR-u do </w:t>
      </w:r>
      <w:r w:rsidR="00DF13C1">
        <w:rPr>
          <w:b/>
        </w:rPr>
        <w:t>18</w:t>
      </w:r>
      <w:r w:rsidRPr="00256182">
        <w:rPr>
          <w:b/>
        </w:rPr>
        <w:t>.09.202</w:t>
      </w:r>
      <w:r w:rsidR="00DF13C1">
        <w:rPr>
          <w:b/>
        </w:rPr>
        <w:t>3</w:t>
      </w:r>
      <w:r w:rsidRPr="00256182">
        <w:rPr>
          <w:b/>
        </w:rPr>
        <w:t>.</w:t>
      </w:r>
      <w:r w:rsidRPr="00256182">
        <w:t xml:space="preserve"> (osim pojedinačnih zahteva opština koji se mogu podneti tokom 202</w:t>
      </w:r>
      <w:r w:rsidR="00DF13C1">
        <w:t>4</w:t>
      </w:r>
      <w:r w:rsidRPr="00256182">
        <w:t xml:space="preserve">. godine), u štampanoj formi originalnog zahteva, potpisanog od strane gradonačelnika ili potpisanog i poslatog e-mailom u službenom e-mail </w:t>
      </w:r>
      <w:r>
        <w:t xml:space="preserve">MZHR </w:t>
      </w:r>
      <w:hyperlink r:id="rId9" w:history="1">
        <w:r w:rsidRPr="008D4D83">
          <w:rPr>
            <w:rStyle w:val="Hyperlink"/>
            <w:rFonts w:cs="Calibri"/>
            <w:sz w:val="24"/>
            <w:szCs w:val="24"/>
          </w:rPr>
          <w:t>Shkrimorja.MZHR@rks-gov.net</w:t>
        </w:r>
      </w:hyperlink>
      <w:r w:rsidRPr="00256182">
        <w:t xml:space="preserve"> u slučajevima kada imamo prijave u partnerstvu sa drugim opštinama, Izjava o partnerstvu takođe mora biti popunjena kako je definisano u dodatku (2);</w:t>
      </w:r>
    </w:p>
    <w:p w14:paraId="29669278" w14:textId="77777777" w:rsidR="00DF13C1" w:rsidRDefault="00DF13C1" w:rsidP="006A5D65">
      <w:pPr>
        <w:rPr>
          <w:rFonts w:eastAsiaTheme="majorEastAsia"/>
        </w:rPr>
      </w:pPr>
    </w:p>
    <w:p w14:paraId="5BE7D57F" w14:textId="77777777" w:rsidR="00DF13C1" w:rsidRDefault="00DF13C1" w:rsidP="006A5D65">
      <w:pPr>
        <w:rPr>
          <w:rFonts w:eastAsiaTheme="majorEastAsia"/>
        </w:rPr>
      </w:pPr>
      <w:r w:rsidRPr="00DF13C1">
        <w:rPr>
          <w:rFonts w:eastAsiaTheme="majorEastAsia"/>
        </w:rPr>
        <w:lastRenderedPageBreak/>
        <w:t>Za slučajeve projekata gde opštine imaju Memorandum o razumevanju sa MDR-om za 2023. godinu i isti se ne završavaju 2023. godine i procedure implementacije projekta nisu započele do septembra 2023. godine (OSIM za projekte opština koje uspeo da potroši minimalno 50% projekta finansiranog od strane MDR-a tokom 2023. godine,) prijave iz ovih opština neće se smatrati pogodnim za finansiranje.</w:t>
      </w:r>
    </w:p>
    <w:p w14:paraId="36F4C877" w14:textId="77777777" w:rsidR="00DF13C1" w:rsidRDefault="00256182" w:rsidP="00610A38">
      <w:pPr>
        <w:pStyle w:val="Heading1"/>
      </w:pPr>
      <w:bookmarkStart w:id="8" w:name="_Toc143090830"/>
      <w:r w:rsidRPr="00256182">
        <w:t>OCENA</w:t>
      </w:r>
      <w:r w:rsidRPr="00256182">
        <w:rPr>
          <w:color w:val="000000" w:themeColor="text1"/>
          <w:sz w:val="24"/>
          <w:szCs w:val="24"/>
        </w:rPr>
        <w:t xml:space="preserve"> </w:t>
      </w:r>
      <w:r w:rsidRPr="00256182">
        <w:t>PROJEKTA</w:t>
      </w:r>
      <w:bookmarkEnd w:id="8"/>
    </w:p>
    <w:p w14:paraId="5C7F8DB5" w14:textId="77777777" w:rsidR="00DF13C1" w:rsidRDefault="00256182" w:rsidP="006A0C92">
      <w:pPr>
        <w:spacing w:after="0"/>
        <w:rPr>
          <w:rFonts w:cs="Calibri"/>
          <w:color w:val="000000" w:themeColor="text1"/>
          <w:sz w:val="24"/>
          <w:szCs w:val="24"/>
        </w:rPr>
      </w:pPr>
      <w:r w:rsidRPr="00256182">
        <w:rPr>
          <w:rFonts w:cs="Calibri"/>
          <w:color w:val="000000" w:themeColor="text1"/>
          <w:sz w:val="24"/>
          <w:szCs w:val="24"/>
        </w:rPr>
        <w:t>Komisija za evaluaciju će biti sastavljena od osoblja MDR-a. Tokom procesa evaluacije, komisija za evaluaciju može od nadležnih ministarstava/opština zatražiti dodatne informacije za konkretan predlog projekta.</w:t>
      </w:r>
    </w:p>
    <w:p w14:paraId="71952133" w14:textId="77777777" w:rsidR="006A0C92" w:rsidRDefault="006A0C92" w:rsidP="00DF13C1">
      <w:pPr>
        <w:rPr>
          <w:rFonts w:cs="Calibri"/>
          <w:b/>
          <w:color w:val="000000" w:themeColor="text1"/>
          <w:sz w:val="24"/>
          <w:szCs w:val="24"/>
        </w:rPr>
      </w:pPr>
    </w:p>
    <w:p w14:paraId="00A2BFCD" w14:textId="77777777" w:rsidR="006A0C92" w:rsidRDefault="00256182" w:rsidP="006A0C92">
      <w:pPr>
        <w:rPr>
          <w:rFonts w:cs="Calibri"/>
          <w:b/>
          <w:color w:val="000000" w:themeColor="text1"/>
          <w:sz w:val="24"/>
          <w:szCs w:val="24"/>
        </w:rPr>
      </w:pPr>
      <w:r w:rsidRPr="00256182">
        <w:rPr>
          <w:rFonts w:cs="Calibri"/>
          <w:b/>
          <w:color w:val="000000" w:themeColor="text1"/>
          <w:sz w:val="24"/>
          <w:szCs w:val="24"/>
        </w:rPr>
        <w:t>Podobnost projekata</w:t>
      </w:r>
      <w:r w:rsidR="00DF13C1">
        <w:rPr>
          <w:rFonts w:cs="Calibri"/>
          <w:b/>
          <w:color w:val="000000" w:themeColor="text1"/>
          <w:sz w:val="24"/>
          <w:szCs w:val="24"/>
        </w:rPr>
        <w:t xml:space="preserve"> faza I</w:t>
      </w:r>
    </w:p>
    <w:p w14:paraId="18F90E6F" w14:textId="38250E4F" w:rsidR="00256182" w:rsidRPr="006A0C92" w:rsidRDefault="00256182" w:rsidP="006A0C92">
      <w:pPr>
        <w:rPr>
          <w:rFonts w:cs="Calibri"/>
          <w:b/>
          <w:color w:val="000000" w:themeColor="text1"/>
          <w:sz w:val="24"/>
          <w:szCs w:val="24"/>
        </w:rPr>
      </w:pPr>
      <w:r w:rsidRPr="00256182">
        <w:rPr>
          <w:rFonts w:cs="Calibri"/>
          <w:color w:val="000000" w:themeColor="text1"/>
          <w:sz w:val="24"/>
          <w:szCs w:val="24"/>
        </w:rPr>
        <w:t>Kvalifikovani će biti samo oni predlozi projekata koji ostvare minimalni rezultat od 50% bodova. Ako Program postane dostupan (npr. kroz odobrene projekte koji nisu bili u skladu sa Memorandumom o razumevanju), onda će komisija za evaluaciju preporučiti sledeći projekat za odobrenje sa rezervne liste.</w:t>
      </w:r>
    </w:p>
    <w:p w14:paraId="6D47942E" w14:textId="2056A134" w:rsidR="00DF13C1" w:rsidRPr="00DF13C1" w:rsidRDefault="00DF13C1" w:rsidP="006A0C92">
      <w:pPr>
        <w:spacing w:after="0"/>
        <w:rPr>
          <w:rFonts w:cs="Calibri"/>
          <w:color w:val="000000" w:themeColor="text1"/>
          <w:sz w:val="24"/>
          <w:szCs w:val="24"/>
        </w:rPr>
      </w:pPr>
      <w:r w:rsidRPr="00256182">
        <w:rPr>
          <w:rFonts w:cs="Calibri"/>
          <w:b/>
          <w:color w:val="000000" w:themeColor="text1"/>
          <w:sz w:val="24"/>
          <w:szCs w:val="24"/>
        </w:rPr>
        <w:t>Podobnost projekata</w:t>
      </w:r>
      <w:r>
        <w:rPr>
          <w:rFonts w:cs="Calibri"/>
          <w:b/>
          <w:color w:val="000000" w:themeColor="text1"/>
          <w:sz w:val="24"/>
          <w:szCs w:val="24"/>
        </w:rPr>
        <w:t xml:space="preserve"> faza II</w:t>
      </w:r>
    </w:p>
    <w:p w14:paraId="7B32F756" w14:textId="648C9059" w:rsidR="00DF13C1" w:rsidRDefault="00DF13C1" w:rsidP="006A0EC8">
      <w:r w:rsidRPr="00DF13C1">
        <w:t>Ukoliko projekti dostignu minimalno 50% bodova, biće potrebno predati projekat implementacije i izvršiti obilazak lokacije radi provere lokacije projekta kao i dodatne dokumentacije.</w:t>
      </w:r>
    </w:p>
    <w:p w14:paraId="25AB759E" w14:textId="00DB615E" w:rsidR="00256182" w:rsidRPr="00256182" w:rsidRDefault="00256182" w:rsidP="00D82D72">
      <w:r w:rsidRPr="00256182">
        <w:t>Preneseni projekti</w:t>
      </w:r>
    </w:p>
    <w:p w14:paraId="54FDB982" w14:textId="3FE222F0" w:rsidR="00256182" w:rsidRPr="00256182" w:rsidRDefault="00256182" w:rsidP="00D82D72">
      <w:r w:rsidRPr="00256182">
        <w:t>Nezavršeni/preneti projekti se nastavljaju samo sa Aneksom Memoranduma o razumevanju nakon preporuke komisije za evaluaciju.</w:t>
      </w:r>
    </w:p>
    <w:p w14:paraId="56150166" w14:textId="663BA80F" w:rsidR="00256182" w:rsidRDefault="00256182" w:rsidP="00D82D72">
      <w:r w:rsidRPr="00256182">
        <w:t>Nezavršeni projekti 202</w:t>
      </w:r>
      <w:r w:rsidR="00DF13C1">
        <w:t>3</w:t>
      </w:r>
      <w:r w:rsidRPr="00256182">
        <w:t>. godine se nastavljaju samo ako dotične opštine podnesu zahteve, te zahteve će rešavati komisija za ocenjivanje i samo ako komisija za ocenjivanje preporuči nastavak projekta, onda se to radi sa Aneksom Memoranduma o razumevanju.</w:t>
      </w:r>
    </w:p>
    <w:p w14:paraId="45EE65FE" w14:textId="6E3F1D06" w:rsidR="00DF13C1" w:rsidRPr="00DF13C1" w:rsidRDefault="00DF13C1" w:rsidP="00D82D72">
      <w:r w:rsidRPr="00DF13C1">
        <w:rPr>
          <w:rFonts w:eastAsiaTheme="majorEastAsia"/>
        </w:rPr>
        <w:t>Preneseni projekti se tretiraju kao pojedinačni zahtevi, a njihov tretman se odvija od januara 2024. godine</w:t>
      </w:r>
    </w:p>
    <w:p w14:paraId="7EE38A88" w14:textId="77777777" w:rsidR="00256182" w:rsidRPr="00256182" w:rsidRDefault="00256182" w:rsidP="005A1BCD">
      <w:r w:rsidRPr="00256182">
        <w:t>Uspešne/neuspešne aplikacije</w:t>
      </w:r>
    </w:p>
    <w:p w14:paraId="7A46737F" w14:textId="0E35C118" w:rsidR="00256182" w:rsidRPr="00256182" w:rsidRDefault="00256182" w:rsidP="005A1BCD">
      <w:r w:rsidRPr="00256182">
        <w:t>Opštine sa uspešnim prijavama biće obaveštene da su njihovi projekti odobreni i biće im ponuđeni memorandumi o razume</w:t>
      </w:r>
      <w:r>
        <w:t>vanju (MOU) koje će izraditi MR</w:t>
      </w:r>
      <w:r w:rsidRPr="00256182">
        <w:t>R. Nakon potpisivanja Memoranduma o razumeva</w:t>
      </w:r>
      <w:r>
        <w:t>nju između strana potpisnica, MR</w:t>
      </w:r>
      <w:r w:rsidRPr="00256182">
        <w:t>R ili opština, u zavisnosti od Memoranduma o razumevanju, počeće sa procedurama za implementaciju projekata.</w:t>
      </w:r>
    </w:p>
    <w:p w14:paraId="433068D8" w14:textId="7B43EC39" w:rsidR="00256182" w:rsidRPr="00256182" w:rsidRDefault="00256182" w:rsidP="005A1BCD">
      <w:r w:rsidRPr="00256182">
        <w:t>Projekti koji ne prelaze prag od 50% bodova nec</w:t>
      </w:r>
      <w:r>
        <w:t>́e biti finansirani od strane MR</w:t>
      </w:r>
      <w:r w:rsidRPr="00256182">
        <w:t>R-a.</w:t>
      </w:r>
    </w:p>
    <w:p w14:paraId="3272F8FB" w14:textId="42610D60" w:rsidR="00256182" w:rsidRDefault="00256182" w:rsidP="006A0C92">
      <w:pPr>
        <w:pStyle w:val="Heading1"/>
        <w:spacing w:before="0"/>
        <w:rPr>
          <w:rFonts w:cs="Calibri"/>
          <w:color w:val="00B0F0"/>
          <w:sz w:val="24"/>
          <w:szCs w:val="24"/>
        </w:rPr>
      </w:pPr>
      <w:bookmarkStart w:id="9" w:name="_Toc143090831"/>
      <w:r w:rsidRPr="008C61FC">
        <w:rPr>
          <w:rFonts w:ascii="Calibri" w:hAnsi="Calibri" w:cs="Calibri"/>
          <w:color w:val="548DD4" w:themeColor="text2" w:themeTint="99"/>
        </w:rPr>
        <w:t>PRIHVATLJIVI</w:t>
      </w:r>
      <w:r w:rsidRPr="00256182">
        <w:rPr>
          <w:rFonts w:cs="Calibri"/>
          <w:color w:val="00B0F0"/>
          <w:sz w:val="24"/>
          <w:szCs w:val="24"/>
        </w:rPr>
        <w:t xml:space="preserve"> </w:t>
      </w:r>
      <w:r w:rsidRPr="008C61FC">
        <w:rPr>
          <w:rFonts w:ascii="Calibri" w:hAnsi="Calibri" w:cs="Calibri"/>
          <w:color w:val="548DD4" w:themeColor="text2" w:themeTint="99"/>
        </w:rPr>
        <w:t>USLOVI</w:t>
      </w:r>
      <w:bookmarkEnd w:id="9"/>
    </w:p>
    <w:p w14:paraId="7FC694A3" w14:textId="77777777" w:rsidR="00256182" w:rsidRDefault="00256182" w:rsidP="00E665C9">
      <w:r w:rsidRPr="00256182">
        <w:t xml:space="preserve">Ovaj fond će biti otvoren za prijave opština. Svaka opština može podnositi prijave prema definisanim kategorijama. Prijave moraju da prate kriterijume definisane u paketu aplikacija i moraju biti u okviru </w:t>
      </w:r>
      <w:r w:rsidRPr="00256182">
        <w:lastRenderedPageBreak/>
        <w:t>sopstvenih nadležnosti opština kao što je definisano u članu 17. Zakona o lokalnoj samoupravi na Kosovu.</w:t>
      </w:r>
    </w:p>
    <w:p w14:paraId="626D4C75" w14:textId="77777777" w:rsidR="00256182" w:rsidRPr="00256182" w:rsidRDefault="00256182" w:rsidP="00E665C9">
      <w:pPr>
        <w:rPr>
          <w:b/>
        </w:rPr>
      </w:pPr>
      <w:r w:rsidRPr="00256182">
        <w:rPr>
          <w:b/>
        </w:rPr>
        <w:t>Prihvatljivi troškovi</w:t>
      </w:r>
    </w:p>
    <w:p w14:paraId="161B15CD" w14:textId="77777777" w:rsidR="00256182" w:rsidRPr="00256182" w:rsidRDefault="00256182" w:rsidP="00E665C9">
      <w:r w:rsidRPr="00256182">
        <w:t>Prihvatljivi troškovi projekta moraju uključivati bitne troškove kako bi se osigurala uspješna realizacija projekta.</w:t>
      </w:r>
    </w:p>
    <w:p w14:paraId="70B496E9" w14:textId="77777777" w:rsidR="00256182" w:rsidRPr="00DC7359" w:rsidRDefault="00256182" w:rsidP="00E665C9">
      <w:pPr>
        <w:rPr>
          <w:b/>
        </w:rPr>
      </w:pPr>
      <w:r w:rsidRPr="00DC7359">
        <w:rPr>
          <w:b/>
        </w:rPr>
        <w:t>Neprihvatljivi troškovi</w:t>
      </w:r>
    </w:p>
    <w:p w14:paraId="5B0E6DCA" w14:textId="77777777" w:rsidR="00256182" w:rsidRPr="00DC7359" w:rsidRDefault="00256182" w:rsidP="00E665C9">
      <w:r w:rsidRPr="00DC7359">
        <w:t>Svi troškovi razvoja i upravljanja projektom u smislu ljudskih resursa neće biti nadoknađeni za realizaciju projekta.</w:t>
      </w:r>
    </w:p>
    <w:p w14:paraId="5C9E40E8" w14:textId="77777777" w:rsidR="00256182" w:rsidRPr="00DC7359" w:rsidRDefault="00256182" w:rsidP="00E665C9">
      <w:pPr>
        <w:pStyle w:val="Heading1"/>
        <w:rPr>
          <w:color w:val="00B0F0"/>
          <w:sz w:val="24"/>
          <w:szCs w:val="24"/>
        </w:rPr>
      </w:pPr>
      <w:bookmarkStart w:id="10" w:name="_Toc143090832"/>
      <w:r w:rsidRPr="00DC7359">
        <w:t>ULOGA REGIONALNIH RAZVOJNIH AGENCIJA</w:t>
      </w:r>
      <w:bookmarkEnd w:id="10"/>
    </w:p>
    <w:p w14:paraId="3E2CE71D" w14:textId="77777777" w:rsidR="00256182" w:rsidRPr="00DC7359" w:rsidRDefault="00256182" w:rsidP="00016A44">
      <w:r w:rsidRPr="00DC7359">
        <w:t>Opštine mogu pozvati RRA kojima pripadaju, da pomognu u razvoju i pripremi prihvatljivih projekata zasnovanih na lokalnim i regionalnim strategijama za ekonomski razvoj. RRA mogu pomoći opštinama u izradi predloga projekata.</w:t>
      </w:r>
    </w:p>
    <w:p w14:paraId="5BAB0D6A" w14:textId="62601048" w:rsidR="00256182" w:rsidRPr="00DC7359" w:rsidRDefault="00256182" w:rsidP="00E665C9">
      <w:pPr>
        <w:pStyle w:val="Heading1"/>
      </w:pPr>
      <w:bookmarkStart w:id="11" w:name="_Toc143090833"/>
      <w:r w:rsidRPr="00DC7359">
        <w:t>PROCEDURE IMPLEMENTACIJE</w:t>
      </w:r>
      <w:bookmarkEnd w:id="11"/>
    </w:p>
    <w:p w14:paraId="4C2E7918" w14:textId="1600782E" w:rsidR="00256182" w:rsidRPr="00DC7359" w:rsidRDefault="00256182" w:rsidP="00016A44">
      <w:r w:rsidRPr="00DC7359">
        <w:t>Izrada i odobravanje memoranduma o razumevanju (MOU). Opštine koje podnesu uspešne prija</w:t>
      </w:r>
      <w:r w:rsidR="00317829" w:rsidRPr="00DC7359">
        <w:t>ve biće obaveštene od strane MR</w:t>
      </w:r>
      <w:r w:rsidRPr="00DC7359">
        <w:t xml:space="preserve">R-a što je pre moguće nakon završetka procesa </w:t>
      </w:r>
      <w:r w:rsidR="00317829" w:rsidRPr="00DC7359">
        <w:t>evaluacije. MM će pripremiti MR</w:t>
      </w:r>
      <w:r w:rsidRPr="00DC7359">
        <w:t>R i o njemu će se razgovarati sa opštinama. Kada se obe strane slože, može se potpisati MoR.</w:t>
      </w:r>
    </w:p>
    <w:p w14:paraId="2DE8628A" w14:textId="16C61154" w:rsidR="00256182" w:rsidRPr="00DC7359" w:rsidRDefault="00256182" w:rsidP="00E665C9">
      <w:pPr>
        <w:pStyle w:val="Heading1"/>
      </w:pPr>
      <w:bookmarkStart w:id="12" w:name="_Toc143090834"/>
      <w:r w:rsidRPr="00DC7359">
        <w:t>POSTUPCI NABAVKE</w:t>
      </w:r>
      <w:bookmarkEnd w:id="12"/>
    </w:p>
    <w:p w14:paraId="47191349" w14:textId="12C3B639" w:rsidR="00256182" w:rsidRPr="00256182" w:rsidRDefault="00256182" w:rsidP="00F15E34">
      <w:pPr>
        <w:spacing w:after="0"/>
      </w:pPr>
      <w:r>
        <w:t>• MR</w:t>
      </w:r>
      <w:r w:rsidRPr="00256182">
        <w:t>R je odgovoran za pokretanje postupaka nabavke za ugovaranje Operatera, osim ako je drugačije određeno sporazumom o razumevanju.</w:t>
      </w:r>
    </w:p>
    <w:p w14:paraId="2805B87B" w14:textId="4371A114" w:rsidR="00256182" w:rsidRPr="00256182" w:rsidRDefault="00256182" w:rsidP="00F15E34">
      <w:pPr>
        <w:spacing w:after="0"/>
      </w:pPr>
      <w:r w:rsidRPr="00256182">
        <w:t>• U slučajevima kada će opštine razviti procedure nabavke, MDR učestvuje sa 1 (jednom) članom u procesu evaluacije, u obradi zahteva za ponovno razmatranje iu ponovnoj proceni ako postoji odluka za ponovno razmatranje.</w:t>
      </w:r>
    </w:p>
    <w:p w14:paraId="7E82FBCE" w14:textId="77777777" w:rsidR="00256182" w:rsidRPr="00256182" w:rsidRDefault="00256182" w:rsidP="00F15E34">
      <w:pPr>
        <w:spacing w:after="0"/>
      </w:pPr>
      <w:r w:rsidRPr="00256182">
        <w:t>• Procedure nabavke moraju biti razvijene u potpunom skladu sa Zakonom br. 04/L-042 za Javne nabavke na Kosovu (JPP).</w:t>
      </w:r>
    </w:p>
    <w:p w14:paraId="020305BA" w14:textId="1AFF4681" w:rsidR="00256182" w:rsidRDefault="00256182" w:rsidP="00F15E34">
      <w:pPr>
        <w:spacing w:after="0"/>
      </w:pPr>
      <w:r w:rsidRPr="00256182">
        <w:t>• U slučajevima kada opštine uspešno sprovode procedure nabavke i tendera i imaju potpisan ugovor između opštine i EO,</w:t>
      </w:r>
      <w:r w:rsidR="00317829">
        <w:t xml:space="preserve"> opštine su dužne da obaveste MR</w:t>
      </w:r>
      <w:r w:rsidRPr="00256182">
        <w:t>R o ugovoru i prijave iznos</w:t>
      </w:r>
      <w:r w:rsidR="00317829">
        <w:t xml:space="preserve"> koji je preostali od obaveza MR</w:t>
      </w:r>
      <w:r w:rsidRPr="00256182">
        <w:t>R-a (u slučajevima kada je iznos od ugovor je manji od iznosa obave</w:t>
      </w:r>
      <w:r>
        <w:t>ze MR</w:t>
      </w:r>
      <w:r w:rsidRPr="00256182">
        <w:t>R).</w:t>
      </w:r>
    </w:p>
    <w:p w14:paraId="48FF55A9" w14:textId="081655FA" w:rsidR="00256182" w:rsidRPr="00372454" w:rsidRDefault="00256182" w:rsidP="00E665C9">
      <w:pPr>
        <w:pStyle w:val="Heading1"/>
      </w:pPr>
      <w:bookmarkStart w:id="13" w:name="_Toc143090835"/>
      <w:r w:rsidRPr="00372454">
        <w:t>PRAĆENJE I IZVEŠTAVANJE</w:t>
      </w:r>
      <w:bookmarkEnd w:id="13"/>
    </w:p>
    <w:p w14:paraId="06860ADE" w14:textId="0AFFDED6" w:rsidR="00256182" w:rsidRPr="00256182" w:rsidRDefault="00256182" w:rsidP="00525791">
      <w:pPr>
        <w:spacing w:after="0"/>
      </w:pPr>
      <w:r>
        <w:t>- MR</w:t>
      </w:r>
      <w:r w:rsidRPr="00256182">
        <w:t>R će pratiti projekte u svakoj fazi radova.</w:t>
      </w:r>
    </w:p>
    <w:p w14:paraId="5F5BA24A" w14:textId="57EAEA0E" w:rsidR="00256182" w:rsidRPr="00256182" w:rsidRDefault="00317829" w:rsidP="00525791">
      <w:pPr>
        <w:spacing w:after="0"/>
      </w:pPr>
      <w:r>
        <w:t>- Imenuje se službenik iz MR</w:t>
      </w:r>
      <w:r w:rsidR="00256182" w:rsidRPr="00256182">
        <w:t>R-a koji je odgovoran za saradnju između Upravljača i Nadzornog organa koji je imenovan odlukom gradonačelnika opštine korisnika nakon potpisivanja Ugovora između opštine korisnika i EO,</w:t>
      </w:r>
    </w:p>
    <w:p w14:paraId="596DE133" w14:textId="5B8CF7B2" w:rsidR="00256182" w:rsidRPr="00256182" w:rsidRDefault="00317829" w:rsidP="00525791">
      <w:pPr>
        <w:spacing w:after="0"/>
      </w:pPr>
      <w:r>
        <w:t>- Službenik MR</w:t>
      </w:r>
      <w:r w:rsidR="00256182" w:rsidRPr="00256182">
        <w:t>R-a će pratiti projekat tokom svih</w:t>
      </w:r>
      <w:r>
        <w:t xml:space="preserve"> faza implementacije, međutim MR</w:t>
      </w:r>
      <w:r w:rsidR="00256182" w:rsidRPr="00256182">
        <w:t>R može angažovati nadzornu kompaniju da prati finansijski deo projekta.</w:t>
      </w:r>
    </w:p>
    <w:p w14:paraId="67654614" w14:textId="645C1414" w:rsidR="00256182" w:rsidRPr="00256182" w:rsidRDefault="00256182" w:rsidP="00525791">
      <w:pPr>
        <w:spacing w:after="0"/>
      </w:pPr>
      <w:r w:rsidRPr="00256182">
        <w:t xml:space="preserve">- Opštine su </w:t>
      </w:r>
      <w:r w:rsidR="00317829">
        <w:t>u obavezi da podnesu izveštaj MR</w:t>
      </w:r>
      <w:r w:rsidRPr="00256182">
        <w:t>R-u o napretku projekta kao i završni izveštaj na kraju projekta.</w:t>
      </w:r>
    </w:p>
    <w:p w14:paraId="333E6454" w14:textId="77777777" w:rsidR="00256182" w:rsidRPr="00256182" w:rsidRDefault="00256182" w:rsidP="00525791">
      <w:pPr>
        <w:spacing w:after="0"/>
      </w:pPr>
      <w:r w:rsidRPr="00256182">
        <w:lastRenderedPageBreak/>
        <w:t>- Opštine, nakon podnošenja narativnog izveštaja o realizaciji Projekta, moraju započeti procedure tehničkog prijema.</w:t>
      </w:r>
    </w:p>
    <w:p w14:paraId="7B9BB60A" w14:textId="77777777" w:rsidR="00256182" w:rsidRDefault="00256182" w:rsidP="00525791">
      <w:pPr>
        <w:spacing w:after="0"/>
      </w:pPr>
      <w:r w:rsidRPr="00256182">
        <w:t>- Nakon tehničkog prijema, opštine kompletiraju dokumentaciju i prosleđuju je nadležnom službeniku Ministarstva prosvete, kulture i sporta na identifikaciju i registraciju imovine.</w:t>
      </w:r>
    </w:p>
    <w:p w14:paraId="1FA3A16F" w14:textId="60734CA7" w:rsidR="00256182" w:rsidRDefault="00317829" w:rsidP="00525791">
      <w:pPr>
        <w:spacing w:after="0"/>
      </w:pPr>
      <w:r>
        <w:t>- Odgovorni službenik MR</w:t>
      </w:r>
      <w:r w:rsidR="00256182" w:rsidRPr="00256182">
        <w:t>R-a za evidenciju i upis imovine u slučaju kompletiranja dokumentacije kroz procedure u najoptimalnijem roku, isti Projekat nosi u imovini opštine korisnika.</w:t>
      </w:r>
    </w:p>
    <w:p w14:paraId="15146959" w14:textId="77777777" w:rsidR="00256182" w:rsidRPr="00256182" w:rsidRDefault="00256182" w:rsidP="00256182">
      <w:pPr>
        <w:pStyle w:val="ListParagraph"/>
        <w:spacing w:line="240" w:lineRule="auto"/>
        <w:outlineLvl w:val="0"/>
        <w:rPr>
          <w:rFonts w:eastAsiaTheme="majorEastAsia" w:cs="Calibri"/>
          <w:color w:val="00B0F0"/>
          <w:sz w:val="24"/>
          <w:szCs w:val="24"/>
        </w:rPr>
      </w:pPr>
    </w:p>
    <w:p w14:paraId="6374E648" w14:textId="77777777" w:rsidR="00256182" w:rsidRPr="00372454" w:rsidRDefault="00256182" w:rsidP="00E665C9">
      <w:pPr>
        <w:pStyle w:val="Heading1"/>
      </w:pPr>
      <w:bookmarkStart w:id="14" w:name="_Toc143090836"/>
      <w:r w:rsidRPr="00372454">
        <w:t>KONTINUIRANO PLAĆANJE ZA UGOVORENE EKONOMSKI OPERATOR</w:t>
      </w:r>
      <w:bookmarkEnd w:id="14"/>
    </w:p>
    <w:p w14:paraId="16C48C5F" w14:textId="2A1EB895" w:rsidR="00C37080" w:rsidRPr="00256182" w:rsidRDefault="00256182" w:rsidP="00F81255">
      <w:r w:rsidRPr="00256182">
        <w:t>Ekonomski operateri će pripr</w:t>
      </w:r>
      <w:r w:rsidR="00317829">
        <w:t>emiti i predati svoje fakture MR</w:t>
      </w:r>
      <w:r w:rsidRPr="00256182">
        <w:t xml:space="preserve">R/Opštini, sa kojom imaju ugovor. Oni moraju da podnesu zahtev za isplatu i nakon što se dokaže da su ispoštovane sve redovne procedure, isplata će biti izvršena na osnovu Zakona o upravljanju </w:t>
      </w:r>
      <w:r w:rsidR="00317829">
        <w:t>javnim finansijama na Kosovu. MR</w:t>
      </w:r>
      <w:r w:rsidRPr="00256182">
        <w:t xml:space="preserve">R/Nadzorna kompanija će verifikovati sve pozicije - radove izvedene na terenu pre uplate. Konačan račun je potrebno dostaviti sa završnim izveštajem najkasnije do </w:t>
      </w:r>
      <w:r w:rsidRPr="00256182">
        <w:rPr>
          <w:b/>
        </w:rPr>
        <w:t>1</w:t>
      </w:r>
      <w:r w:rsidR="00372454">
        <w:rPr>
          <w:b/>
        </w:rPr>
        <w:t>7</w:t>
      </w:r>
      <w:r w:rsidRPr="00256182">
        <w:rPr>
          <w:b/>
        </w:rPr>
        <w:t>.12.202</w:t>
      </w:r>
      <w:r w:rsidR="00372454">
        <w:rPr>
          <w:b/>
        </w:rPr>
        <w:t>4</w:t>
      </w:r>
      <w:r w:rsidRPr="00256182">
        <w:rPr>
          <w:b/>
        </w:rPr>
        <w:t>.</w:t>
      </w:r>
    </w:p>
    <w:p w14:paraId="638DD5CC" w14:textId="534FCD79" w:rsidR="00C37080" w:rsidRDefault="00C37080" w:rsidP="004C23B0">
      <w:pPr>
        <w:pStyle w:val="ListParagraph"/>
        <w:spacing w:line="240" w:lineRule="auto"/>
        <w:ind w:left="0"/>
        <w:outlineLvl w:val="0"/>
        <w:rPr>
          <w:rFonts w:cs="Calibri"/>
          <w:sz w:val="24"/>
          <w:szCs w:val="24"/>
        </w:rPr>
      </w:pPr>
    </w:p>
    <w:p w14:paraId="0F1ADDC9" w14:textId="77777777" w:rsidR="00F81255" w:rsidRDefault="00F81255" w:rsidP="004C23B0">
      <w:pPr>
        <w:pStyle w:val="ListParagraph"/>
        <w:spacing w:line="240" w:lineRule="auto"/>
        <w:ind w:left="0"/>
        <w:outlineLvl w:val="0"/>
        <w:rPr>
          <w:rFonts w:cs="Calibri"/>
          <w:sz w:val="24"/>
          <w:szCs w:val="24"/>
        </w:rPr>
      </w:pPr>
    </w:p>
    <w:p w14:paraId="67433E04" w14:textId="77777777" w:rsidR="00F81255" w:rsidRDefault="00F81255" w:rsidP="004C23B0">
      <w:pPr>
        <w:pStyle w:val="ListParagraph"/>
        <w:spacing w:line="240" w:lineRule="auto"/>
        <w:ind w:left="0"/>
        <w:outlineLvl w:val="0"/>
        <w:rPr>
          <w:rFonts w:cs="Calibri"/>
          <w:sz w:val="24"/>
          <w:szCs w:val="24"/>
        </w:rPr>
      </w:pPr>
    </w:p>
    <w:p w14:paraId="6C199BD3" w14:textId="77777777" w:rsidR="00F81255" w:rsidRDefault="00F81255" w:rsidP="004C23B0">
      <w:pPr>
        <w:pStyle w:val="ListParagraph"/>
        <w:spacing w:line="240" w:lineRule="auto"/>
        <w:ind w:left="0"/>
        <w:outlineLvl w:val="0"/>
        <w:rPr>
          <w:rFonts w:cs="Calibri"/>
          <w:sz w:val="24"/>
          <w:szCs w:val="24"/>
        </w:rPr>
      </w:pPr>
    </w:p>
    <w:p w14:paraId="0494D100" w14:textId="77777777" w:rsidR="00F81255" w:rsidRDefault="00F81255" w:rsidP="004C23B0">
      <w:pPr>
        <w:pStyle w:val="ListParagraph"/>
        <w:spacing w:line="240" w:lineRule="auto"/>
        <w:ind w:left="0"/>
        <w:outlineLvl w:val="0"/>
        <w:rPr>
          <w:rFonts w:cs="Calibri"/>
          <w:sz w:val="24"/>
          <w:szCs w:val="24"/>
        </w:rPr>
      </w:pPr>
    </w:p>
    <w:p w14:paraId="39814254" w14:textId="77777777" w:rsidR="00F81255" w:rsidRDefault="00F81255" w:rsidP="004C23B0">
      <w:pPr>
        <w:pStyle w:val="ListParagraph"/>
        <w:spacing w:line="240" w:lineRule="auto"/>
        <w:ind w:left="0"/>
        <w:outlineLvl w:val="0"/>
        <w:rPr>
          <w:rFonts w:cs="Calibri"/>
          <w:sz w:val="24"/>
          <w:szCs w:val="24"/>
        </w:rPr>
      </w:pPr>
    </w:p>
    <w:p w14:paraId="08550318" w14:textId="77777777" w:rsidR="00F81255" w:rsidRDefault="00F81255" w:rsidP="004C23B0">
      <w:pPr>
        <w:pStyle w:val="ListParagraph"/>
        <w:spacing w:line="240" w:lineRule="auto"/>
        <w:ind w:left="0"/>
        <w:outlineLvl w:val="0"/>
        <w:rPr>
          <w:rFonts w:cs="Calibri"/>
          <w:sz w:val="24"/>
          <w:szCs w:val="24"/>
        </w:rPr>
      </w:pPr>
    </w:p>
    <w:p w14:paraId="6549F1D4" w14:textId="77777777" w:rsidR="00F81255" w:rsidRDefault="00F81255" w:rsidP="004C23B0">
      <w:pPr>
        <w:pStyle w:val="ListParagraph"/>
        <w:spacing w:line="240" w:lineRule="auto"/>
        <w:ind w:left="0"/>
        <w:outlineLvl w:val="0"/>
        <w:rPr>
          <w:rFonts w:cs="Calibri"/>
          <w:sz w:val="24"/>
          <w:szCs w:val="24"/>
        </w:rPr>
      </w:pPr>
    </w:p>
    <w:p w14:paraId="07819A58" w14:textId="77777777" w:rsidR="00F81255" w:rsidRDefault="00F81255" w:rsidP="004C23B0">
      <w:pPr>
        <w:pStyle w:val="ListParagraph"/>
        <w:spacing w:line="240" w:lineRule="auto"/>
        <w:ind w:left="0"/>
        <w:outlineLvl w:val="0"/>
        <w:rPr>
          <w:rFonts w:cs="Calibri"/>
          <w:sz w:val="24"/>
          <w:szCs w:val="24"/>
        </w:rPr>
      </w:pPr>
    </w:p>
    <w:p w14:paraId="472C4B3F" w14:textId="77777777" w:rsidR="00F81255" w:rsidRDefault="00F81255" w:rsidP="004C23B0">
      <w:pPr>
        <w:pStyle w:val="ListParagraph"/>
        <w:spacing w:line="240" w:lineRule="auto"/>
        <w:ind w:left="0"/>
        <w:outlineLvl w:val="0"/>
        <w:rPr>
          <w:rFonts w:cs="Calibri"/>
          <w:sz w:val="24"/>
          <w:szCs w:val="24"/>
        </w:rPr>
      </w:pPr>
    </w:p>
    <w:p w14:paraId="4B94540B" w14:textId="77777777" w:rsidR="00F81255" w:rsidRDefault="00F81255" w:rsidP="004C23B0">
      <w:pPr>
        <w:pStyle w:val="ListParagraph"/>
        <w:spacing w:line="240" w:lineRule="auto"/>
        <w:ind w:left="0"/>
        <w:outlineLvl w:val="0"/>
        <w:rPr>
          <w:rFonts w:cs="Calibri"/>
          <w:sz w:val="24"/>
          <w:szCs w:val="24"/>
        </w:rPr>
      </w:pPr>
    </w:p>
    <w:p w14:paraId="1CB38FAF" w14:textId="77777777" w:rsidR="00F81255" w:rsidRDefault="00F81255" w:rsidP="004C23B0">
      <w:pPr>
        <w:pStyle w:val="ListParagraph"/>
        <w:spacing w:line="240" w:lineRule="auto"/>
        <w:ind w:left="0"/>
        <w:outlineLvl w:val="0"/>
        <w:rPr>
          <w:rFonts w:cs="Calibri"/>
          <w:sz w:val="24"/>
          <w:szCs w:val="24"/>
        </w:rPr>
      </w:pPr>
    </w:p>
    <w:p w14:paraId="0A597F9D" w14:textId="77777777" w:rsidR="00F81255" w:rsidRDefault="00F81255" w:rsidP="004C23B0">
      <w:pPr>
        <w:pStyle w:val="ListParagraph"/>
        <w:spacing w:line="240" w:lineRule="auto"/>
        <w:ind w:left="0"/>
        <w:outlineLvl w:val="0"/>
        <w:rPr>
          <w:rFonts w:cs="Calibri"/>
          <w:sz w:val="24"/>
          <w:szCs w:val="24"/>
        </w:rPr>
      </w:pPr>
    </w:p>
    <w:p w14:paraId="4C015B5B" w14:textId="77777777" w:rsidR="00F81255" w:rsidRDefault="00F81255" w:rsidP="004C23B0">
      <w:pPr>
        <w:pStyle w:val="ListParagraph"/>
        <w:spacing w:line="240" w:lineRule="auto"/>
        <w:ind w:left="0"/>
        <w:outlineLvl w:val="0"/>
        <w:rPr>
          <w:rFonts w:cs="Calibri"/>
          <w:sz w:val="24"/>
          <w:szCs w:val="24"/>
        </w:rPr>
      </w:pPr>
    </w:p>
    <w:p w14:paraId="75D19893" w14:textId="77777777" w:rsidR="00F81255" w:rsidRDefault="00F81255" w:rsidP="004C23B0">
      <w:pPr>
        <w:pStyle w:val="ListParagraph"/>
        <w:spacing w:line="240" w:lineRule="auto"/>
        <w:ind w:left="0"/>
        <w:outlineLvl w:val="0"/>
        <w:rPr>
          <w:rFonts w:cs="Calibri"/>
          <w:sz w:val="24"/>
          <w:szCs w:val="24"/>
        </w:rPr>
      </w:pPr>
    </w:p>
    <w:p w14:paraId="50A46F92" w14:textId="77777777" w:rsidR="00F81255" w:rsidRDefault="00F81255" w:rsidP="004C23B0">
      <w:pPr>
        <w:pStyle w:val="ListParagraph"/>
        <w:spacing w:line="240" w:lineRule="auto"/>
        <w:ind w:left="0"/>
        <w:outlineLvl w:val="0"/>
        <w:rPr>
          <w:rFonts w:cs="Calibri"/>
          <w:sz w:val="24"/>
          <w:szCs w:val="24"/>
        </w:rPr>
      </w:pPr>
    </w:p>
    <w:p w14:paraId="29E8BAB5" w14:textId="77777777" w:rsidR="00F81255" w:rsidRDefault="00F81255" w:rsidP="004C23B0">
      <w:pPr>
        <w:pStyle w:val="ListParagraph"/>
        <w:spacing w:line="240" w:lineRule="auto"/>
        <w:ind w:left="0"/>
        <w:outlineLvl w:val="0"/>
        <w:rPr>
          <w:rFonts w:cs="Calibri"/>
          <w:sz w:val="24"/>
          <w:szCs w:val="24"/>
        </w:rPr>
      </w:pPr>
    </w:p>
    <w:p w14:paraId="66B9773E" w14:textId="77777777" w:rsidR="00F81255" w:rsidRDefault="00F81255" w:rsidP="004C23B0">
      <w:pPr>
        <w:pStyle w:val="ListParagraph"/>
        <w:spacing w:line="240" w:lineRule="auto"/>
        <w:ind w:left="0"/>
        <w:outlineLvl w:val="0"/>
        <w:rPr>
          <w:rFonts w:cs="Calibri"/>
          <w:sz w:val="24"/>
          <w:szCs w:val="24"/>
        </w:rPr>
      </w:pPr>
    </w:p>
    <w:p w14:paraId="1B8F4696" w14:textId="77777777" w:rsidR="00F81255" w:rsidRDefault="00F81255" w:rsidP="004C23B0">
      <w:pPr>
        <w:pStyle w:val="ListParagraph"/>
        <w:spacing w:line="240" w:lineRule="auto"/>
        <w:ind w:left="0"/>
        <w:outlineLvl w:val="0"/>
        <w:rPr>
          <w:rFonts w:cs="Calibri"/>
          <w:sz w:val="24"/>
          <w:szCs w:val="24"/>
        </w:rPr>
      </w:pPr>
    </w:p>
    <w:p w14:paraId="54D5FF20" w14:textId="77777777" w:rsidR="00F81255" w:rsidRDefault="00F81255" w:rsidP="004C23B0">
      <w:pPr>
        <w:pStyle w:val="ListParagraph"/>
        <w:spacing w:line="240" w:lineRule="auto"/>
        <w:ind w:left="0"/>
        <w:outlineLvl w:val="0"/>
        <w:rPr>
          <w:rFonts w:cs="Calibri"/>
          <w:sz w:val="24"/>
          <w:szCs w:val="24"/>
        </w:rPr>
      </w:pPr>
    </w:p>
    <w:p w14:paraId="6B2539B1" w14:textId="77777777" w:rsidR="00F81255" w:rsidRDefault="00F81255" w:rsidP="004C23B0">
      <w:pPr>
        <w:pStyle w:val="ListParagraph"/>
        <w:spacing w:line="240" w:lineRule="auto"/>
        <w:ind w:left="0"/>
        <w:outlineLvl w:val="0"/>
        <w:rPr>
          <w:rFonts w:cs="Calibri"/>
          <w:sz w:val="24"/>
          <w:szCs w:val="24"/>
        </w:rPr>
      </w:pPr>
    </w:p>
    <w:p w14:paraId="7510FF40" w14:textId="77777777" w:rsidR="00F81255" w:rsidRDefault="00F81255" w:rsidP="004C23B0">
      <w:pPr>
        <w:pStyle w:val="ListParagraph"/>
        <w:spacing w:line="240" w:lineRule="auto"/>
        <w:ind w:left="0"/>
        <w:outlineLvl w:val="0"/>
        <w:rPr>
          <w:rFonts w:cs="Calibri"/>
          <w:sz w:val="24"/>
          <w:szCs w:val="24"/>
        </w:rPr>
      </w:pPr>
    </w:p>
    <w:p w14:paraId="02F6B5B9" w14:textId="77777777" w:rsidR="00F81255" w:rsidRDefault="00F81255" w:rsidP="004C23B0">
      <w:pPr>
        <w:pStyle w:val="ListParagraph"/>
        <w:spacing w:line="240" w:lineRule="auto"/>
        <w:ind w:left="0"/>
        <w:outlineLvl w:val="0"/>
        <w:rPr>
          <w:rFonts w:cs="Calibri"/>
          <w:sz w:val="24"/>
          <w:szCs w:val="24"/>
        </w:rPr>
      </w:pPr>
    </w:p>
    <w:p w14:paraId="7C5B76ED" w14:textId="77777777" w:rsidR="00F81255" w:rsidRDefault="00F81255" w:rsidP="004C23B0">
      <w:pPr>
        <w:pStyle w:val="ListParagraph"/>
        <w:spacing w:line="240" w:lineRule="auto"/>
        <w:ind w:left="0"/>
        <w:outlineLvl w:val="0"/>
        <w:rPr>
          <w:rFonts w:cs="Calibri"/>
          <w:sz w:val="24"/>
          <w:szCs w:val="24"/>
        </w:rPr>
      </w:pPr>
    </w:p>
    <w:p w14:paraId="60809546" w14:textId="77777777" w:rsidR="00F81255" w:rsidRDefault="00F81255" w:rsidP="004C23B0">
      <w:pPr>
        <w:pStyle w:val="ListParagraph"/>
        <w:spacing w:line="240" w:lineRule="auto"/>
        <w:ind w:left="0"/>
        <w:outlineLvl w:val="0"/>
        <w:rPr>
          <w:rFonts w:cs="Calibri"/>
          <w:sz w:val="24"/>
          <w:szCs w:val="24"/>
        </w:rPr>
      </w:pPr>
    </w:p>
    <w:p w14:paraId="49A24785" w14:textId="77777777" w:rsidR="00F81255" w:rsidRDefault="00F81255" w:rsidP="004C23B0">
      <w:pPr>
        <w:pStyle w:val="ListParagraph"/>
        <w:spacing w:line="240" w:lineRule="auto"/>
        <w:ind w:left="0"/>
        <w:outlineLvl w:val="0"/>
        <w:rPr>
          <w:rFonts w:cs="Calibri"/>
          <w:sz w:val="24"/>
          <w:szCs w:val="24"/>
        </w:rPr>
      </w:pPr>
    </w:p>
    <w:p w14:paraId="6BBC947C" w14:textId="77777777" w:rsidR="00F81255" w:rsidRDefault="00F81255" w:rsidP="004C23B0">
      <w:pPr>
        <w:pStyle w:val="ListParagraph"/>
        <w:spacing w:line="240" w:lineRule="auto"/>
        <w:ind w:left="0"/>
        <w:outlineLvl w:val="0"/>
        <w:rPr>
          <w:rFonts w:cs="Calibri"/>
          <w:sz w:val="24"/>
          <w:szCs w:val="24"/>
        </w:rPr>
      </w:pPr>
    </w:p>
    <w:p w14:paraId="607ACF95" w14:textId="77777777" w:rsidR="00F81255" w:rsidRDefault="00F81255" w:rsidP="004C23B0">
      <w:pPr>
        <w:pStyle w:val="ListParagraph"/>
        <w:spacing w:line="240" w:lineRule="auto"/>
        <w:ind w:left="0"/>
        <w:outlineLvl w:val="0"/>
        <w:rPr>
          <w:rFonts w:cs="Calibri"/>
          <w:sz w:val="24"/>
          <w:szCs w:val="24"/>
        </w:rPr>
      </w:pPr>
    </w:p>
    <w:p w14:paraId="1061C82B" w14:textId="77777777" w:rsidR="00F81255" w:rsidRDefault="00F81255" w:rsidP="004C23B0">
      <w:pPr>
        <w:pStyle w:val="ListParagraph"/>
        <w:spacing w:line="240" w:lineRule="auto"/>
        <w:ind w:left="0"/>
        <w:outlineLvl w:val="0"/>
        <w:rPr>
          <w:rFonts w:cs="Calibri"/>
          <w:sz w:val="24"/>
          <w:szCs w:val="24"/>
        </w:rPr>
      </w:pPr>
    </w:p>
    <w:p w14:paraId="13BC5311" w14:textId="77777777" w:rsidR="00217F12" w:rsidRDefault="00217F12" w:rsidP="004C23B0">
      <w:pPr>
        <w:pStyle w:val="ListParagraph"/>
        <w:spacing w:line="240" w:lineRule="auto"/>
        <w:ind w:left="0"/>
        <w:outlineLvl w:val="0"/>
        <w:rPr>
          <w:rFonts w:cs="Calibri"/>
          <w:sz w:val="24"/>
          <w:szCs w:val="24"/>
        </w:rPr>
      </w:pPr>
    </w:p>
    <w:p w14:paraId="3BDEA35D" w14:textId="77777777" w:rsidR="00217F12" w:rsidRDefault="00217F12" w:rsidP="004C23B0">
      <w:pPr>
        <w:pStyle w:val="ListParagraph"/>
        <w:spacing w:line="240" w:lineRule="auto"/>
        <w:ind w:left="0"/>
        <w:outlineLvl w:val="0"/>
        <w:rPr>
          <w:rFonts w:cs="Calibri"/>
          <w:sz w:val="24"/>
          <w:szCs w:val="24"/>
        </w:rPr>
      </w:pPr>
    </w:p>
    <w:p w14:paraId="492041C2" w14:textId="656B478A" w:rsidR="00373B58" w:rsidRPr="00373B58" w:rsidRDefault="00A82920" w:rsidP="00B23F38">
      <w:pPr>
        <w:jc w:val="center"/>
        <w:rPr>
          <w:rFonts w:cs="Calibri"/>
          <w:b/>
          <w:bCs/>
          <w:color w:val="000000" w:themeColor="text1"/>
          <w:sz w:val="28"/>
          <w:szCs w:val="28"/>
        </w:rPr>
      </w:pPr>
      <w:r w:rsidRPr="00373B58">
        <w:rPr>
          <w:rFonts w:cs="Calibri"/>
          <w:b/>
          <w:bCs/>
          <w:color w:val="000000" w:themeColor="text1"/>
          <w:sz w:val="28"/>
          <w:szCs w:val="28"/>
        </w:rPr>
        <w:t>P</w:t>
      </w:r>
      <w:r w:rsidR="0012645E">
        <w:rPr>
          <w:rFonts w:cs="Calibri"/>
          <w:b/>
          <w:bCs/>
          <w:color w:val="000000" w:themeColor="text1"/>
          <w:sz w:val="28"/>
          <w:szCs w:val="28"/>
        </w:rPr>
        <w:t>rogram za Regionalni razvoj</w:t>
      </w:r>
      <w:r w:rsidRPr="00373B58">
        <w:rPr>
          <w:rFonts w:cs="Calibri"/>
          <w:b/>
          <w:bCs/>
          <w:color w:val="000000" w:themeColor="text1"/>
          <w:sz w:val="28"/>
          <w:szCs w:val="28"/>
        </w:rPr>
        <w:t xml:space="preserve"> 202</w:t>
      </w:r>
      <w:r w:rsidR="00372454">
        <w:rPr>
          <w:rFonts w:cs="Calibri"/>
          <w:b/>
          <w:bCs/>
          <w:color w:val="000000" w:themeColor="text1"/>
          <w:sz w:val="28"/>
          <w:szCs w:val="28"/>
        </w:rPr>
        <w:t>4</w:t>
      </w:r>
      <w:r w:rsidR="00373B58" w:rsidRPr="00373B58">
        <w:rPr>
          <w:rFonts w:cs="Calibri"/>
          <w:b/>
          <w:bCs/>
          <w:color w:val="000000" w:themeColor="text1"/>
          <w:sz w:val="28"/>
          <w:szCs w:val="28"/>
        </w:rPr>
        <w:t xml:space="preserve"> </w:t>
      </w:r>
    </w:p>
    <w:p w14:paraId="7B44738A" w14:textId="4E42DB93" w:rsidR="001F737A" w:rsidRPr="008D4D83" w:rsidRDefault="00EE121E" w:rsidP="00B23F38">
      <w:pPr>
        <w:jc w:val="center"/>
        <w:rPr>
          <w:rFonts w:cs="Calibri"/>
          <w:b/>
          <w:bCs/>
          <w:color w:val="548DD4" w:themeColor="text2" w:themeTint="99"/>
          <w:sz w:val="28"/>
          <w:szCs w:val="28"/>
        </w:rPr>
      </w:pPr>
      <w:r>
        <w:rPr>
          <w:rFonts w:cs="Calibri"/>
          <w:b/>
          <w:bCs/>
          <w:color w:val="548DD4" w:themeColor="text2" w:themeTint="99"/>
          <w:sz w:val="28"/>
          <w:szCs w:val="28"/>
        </w:rPr>
        <w:t>Indikativni raspored</w:t>
      </w:r>
    </w:p>
    <w:tbl>
      <w:tblPr>
        <w:tblStyle w:val="ListTable3-Accent1"/>
        <w:tblW w:w="9288" w:type="dxa"/>
        <w:tblLayout w:type="fixed"/>
        <w:tblLook w:val="04A0" w:firstRow="1" w:lastRow="0" w:firstColumn="1" w:lastColumn="0" w:noHBand="0" w:noVBand="1"/>
      </w:tblPr>
      <w:tblGrid>
        <w:gridCol w:w="2718"/>
        <w:gridCol w:w="6570"/>
      </w:tblGrid>
      <w:tr w:rsidR="002A1F25" w:rsidRPr="002A1F25" w14:paraId="0B6072F6" w14:textId="77777777" w:rsidTr="002A1F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18" w:type="dxa"/>
          </w:tcPr>
          <w:p w14:paraId="106B73FE" w14:textId="3811B53A" w:rsidR="0043431C" w:rsidRPr="002A1F25" w:rsidRDefault="00304572" w:rsidP="002A1F25">
            <w:pPr>
              <w:spacing w:after="0"/>
              <w:ind w:left="360"/>
              <w:contextualSpacing/>
              <w:jc w:val="center"/>
              <w:rPr>
                <w:rFonts w:cs="Calibri"/>
                <w:color w:val="000000" w:themeColor="text1"/>
                <w:sz w:val="24"/>
                <w:szCs w:val="24"/>
              </w:rPr>
            </w:pPr>
            <w:r>
              <w:rPr>
                <w:rFonts w:cs="Calibri"/>
                <w:color w:val="000000" w:themeColor="text1"/>
                <w:sz w:val="24"/>
                <w:szCs w:val="24"/>
              </w:rPr>
              <w:t>DATUM/VREME I MESECI</w:t>
            </w:r>
          </w:p>
        </w:tc>
        <w:tc>
          <w:tcPr>
            <w:tcW w:w="6570" w:type="dxa"/>
          </w:tcPr>
          <w:p w14:paraId="054D8E80" w14:textId="4640CFC0" w:rsidR="0043431C" w:rsidRPr="002A1F25" w:rsidRDefault="00304572" w:rsidP="002A1F25">
            <w:pPr>
              <w:spacing w:after="0"/>
              <w:contextualSpacing/>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4"/>
                <w:szCs w:val="24"/>
              </w:rPr>
            </w:pPr>
            <w:r>
              <w:rPr>
                <w:rFonts w:cs="Calibri"/>
                <w:color w:val="000000" w:themeColor="text1"/>
                <w:sz w:val="24"/>
                <w:szCs w:val="24"/>
              </w:rPr>
              <w:t>AKTIVNOSTI</w:t>
            </w:r>
          </w:p>
        </w:tc>
      </w:tr>
      <w:tr w:rsidR="002A1F25" w:rsidRPr="002A1F25" w14:paraId="2ADFE5E6" w14:textId="77777777" w:rsidTr="002A1F2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718" w:type="dxa"/>
          </w:tcPr>
          <w:p w14:paraId="0E26EC29" w14:textId="768DC634" w:rsidR="0043431C" w:rsidRPr="002A1F25" w:rsidRDefault="00304572"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1</w:t>
            </w:r>
            <w:r w:rsidR="00372454">
              <w:rPr>
                <w:rFonts w:cs="Calibri"/>
                <w:b w:val="0"/>
                <w:bCs w:val="0"/>
                <w:color w:val="000000" w:themeColor="text1"/>
                <w:sz w:val="24"/>
                <w:szCs w:val="24"/>
              </w:rPr>
              <w:t>8</w:t>
            </w:r>
            <w:r>
              <w:rPr>
                <w:rFonts w:cs="Calibri"/>
                <w:b w:val="0"/>
                <w:bCs w:val="0"/>
                <w:color w:val="000000" w:themeColor="text1"/>
                <w:sz w:val="24"/>
                <w:szCs w:val="24"/>
              </w:rPr>
              <w:t xml:space="preserve"> Avgust</w:t>
            </w:r>
            <w:r w:rsidR="0043431C" w:rsidRPr="002A1F25">
              <w:rPr>
                <w:rFonts w:cs="Calibri"/>
                <w:b w:val="0"/>
                <w:bCs w:val="0"/>
                <w:color w:val="000000" w:themeColor="text1"/>
                <w:sz w:val="24"/>
                <w:szCs w:val="24"/>
              </w:rPr>
              <w:t xml:space="preserve"> 202</w:t>
            </w:r>
            <w:r w:rsidR="00372454">
              <w:rPr>
                <w:rFonts w:cs="Calibri"/>
                <w:b w:val="0"/>
                <w:bCs w:val="0"/>
                <w:color w:val="000000" w:themeColor="text1"/>
                <w:sz w:val="24"/>
                <w:szCs w:val="24"/>
              </w:rPr>
              <w:t>3</w:t>
            </w:r>
          </w:p>
        </w:tc>
        <w:tc>
          <w:tcPr>
            <w:tcW w:w="6570" w:type="dxa"/>
          </w:tcPr>
          <w:p w14:paraId="063E9B7E" w14:textId="0F6E9DC9" w:rsidR="0043431C" w:rsidRPr="002A1F25" w:rsidRDefault="00535861" w:rsidP="002A1F25">
            <w:pPr>
              <w:spacing w:after="0"/>
              <w:contextualSpacing/>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Pr>
                <w:rFonts w:cs="Calibri"/>
                <w:color w:val="000000" w:themeColor="text1"/>
                <w:sz w:val="24"/>
                <w:szCs w:val="24"/>
              </w:rPr>
              <w:t>Pokretanje MR</w:t>
            </w:r>
            <w:r w:rsidRPr="00535861">
              <w:rPr>
                <w:rFonts w:cs="Calibri"/>
                <w:color w:val="000000" w:themeColor="text1"/>
                <w:sz w:val="24"/>
                <w:szCs w:val="24"/>
              </w:rPr>
              <w:t>R poziva za regionalni ekonomski razvoj</w:t>
            </w:r>
          </w:p>
        </w:tc>
      </w:tr>
      <w:tr w:rsidR="002A1F25" w:rsidRPr="002A1F25" w14:paraId="002D9551" w14:textId="77777777" w:rsidTr="002A1F25">
        <w:trPr>
          <w:trHeight w:val="458"/>
        </w:trPr>
        <w:tc>
          <w:tcPr>
            <w:cnfStyle w:val="001000000000" w:firstRow="0" w:lastRow="0" w:firstColumn="1" w:lastColumn="0" w:oddVBand="0" w:evenVBand="0" w:oddHBand="0" w:evenHBand="0" w:firstRowFirstColumn="0" w:firstRowLastColumn="0" w:lastRowFirstColumn="0" w:lastRowLastColumn="0"/>
            <w:tcW w:w="2718" w:type="dxa"/>
          </w:tcPr>
          <w:p w14:paraId="6A837A13" w14:textId="16EF9D57" w:rsidR="0043431C" w:rsidRPr="002A1F25" w:rsidRDefault="002A1F25" w:rsidP="008643EB">
            <w:pPr>
              <w:spacing w:after="0"/>
              <w:ind w:left="360"/>
              <w:jc w:val="right"/>
              <w:rPr>
                <w:rFonts w:cs="Calibri"/>
                <w:b w:val="0"/>
                <w:bCs w:val="0"/>
                <w:color w:val="000000" w:themeColor="text1"/>
                <w:sz w:val="24"/>
                <w:szCs w:val="24"/>
              </w:rPr>
            </w:pPr>
            <w:r w:rsidRPr="004864C5">
              <w:rPr>
                <w:rFonts w:cs="Calibri"/>
                <w:b w:val="0"/>
                <w:bCs w:val="0"/>
                <w:sz w:val="24"/>
                <w:szCs w:val="24"/>
              </w:rPr>
              <w:t>2</w:t>
            </w:r>
            <w:r w:rsidR="00372454">
              <w:rPr>
                <w:rFonts w:cs="Calibri"/>
                <w:b w:val="0"/>
                <w:bCs w:val="0"/>
                <w:sz w:val="24"/>
                <w:szCs w:val="24"/>
              </w:rPr>
              <w:t>5</w:t>
            </w:r>
            <w:r w:rsidR="0043431C" w:rsidRPr="004864C5">
              <w:rPr>
                <w:rFonts w:cs="Calibri"/>
                <w:b w:val="0"/>
                <w:bCs w:val="0"/>
                <w:sz w:val="24"/>
                <w:szCs w:val="24"/>
              </w:rPr>
              <w:t xml:space="preserve"> </w:t>
            </w:r>
            <w:r w:rsidR="00304572">
              <w:rPr>
                <w:rFonts w:cs="Calibri"/>
                <w:b w:val="0"/>
                <w:bCs w:val="0"/>
                <w:color w:val="000000" w:themeColor="text1"/>
                <w:sz w:val="24"/>
                <w:szCs w:val="24"/>
              </w:rPr>
              <w:t>Avgust</w:t>
            </w:r>
            <w:r w:rsidR="0043431C" w:rsidRPr="002A1F25">
              <w:rPr>
                <w:rFonts w:cs="Calibri"/>
                <w:b w:val="0"/>
                <w:bCs w:val="0"/>
                <w:color w:val="000000" w:themeColor="text1"/>
                <w:sz w:val="24"/>
                <w:szCs w:val="24"/>
              </w:rPr>
              <w:t xml:space="preserve"> 202</w:t>
            </w:r>
            <w:r w:rsidR="00372454">
              <w:rPr>
                <w:rFonts w:cs="Calibri"/>
                <w:b w:val="0"/>
                <w:bCs w:val="0"/>
                <w:color w:val="000000" w:themeColor="text1"/>
                <w:sz w:val="24"/>
                <w:szCs w:val="24"/>
              </w:rPr>
              <w:t>3</w:t>
            </w:r>
            <w:r w:rsidR="0043431C" w:rsidRPr="002A1F25">
              <w:rPr>
                <w:rFonts w:cs="Calibri"/>
                <w:b w:val="0"/>
                <w:bCs w:val="0"/>
                <w:color w:val="000000" w:themeColor="text1"/>
                <w:sz w:val="24"/>
                <w:szCs w:val="24"/>
              </w:rPr>
              <w:t xml:space="preserve"> </w:t>
            </w:r>
          </w:p>
        </w:tc>
        <w:tc>
          <w:tcPr>
            <w:tcW w:w="6570" w:type="dxa"/>
          </w:tcPr>
          <w:p w14:paraId="50EF1CB8" w14:textId="3287BE29" w:rsidR="0043431C" w:rsidRPr="002A1F25" w:rsidRDefault="00535861" w:rsidP="002A1F25">
            <w:pPr>
              <w:spacing w:after="0"/>
              <w:contextualSpacing/>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Informativne sesije za sve razvojne regione</w:t>
            </w:r>
          </w:p>
        </w:tc>
      </w:tr>
      <w:tr w:rsidR="002A1F25" w:rsidRPr="002A1F25" w14:paraId="6E2CE447" w14:textId="77777777" w:rsidTr="002A1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FC5E910" w14:textId="06900203" w:rsidR="0043431C" w:rsidRPr="002A1F25" w:rsidRDefault="00372454"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18</w:t>
            </w:r>
            <w:r w:rsidR="00304572">
              <w:rPr>
                <w:rFonts w:cs="Calibri"/>
                <w:b w:val="0"/>
                <w:bCs w:val="0"/>
                <w:color w:val="000000" w:themeColor="text1"/>
                <w:sz w:val="24"/>
                <w:szCs w:val="24"/>
              </w:rPr>
              <w:t xml:space="preserve"> Septembar</w:t>
            </w:r>
            <w:r w:rsidR="0043431C" w:rsidRPr="002A1F25">
              <w:rPr>
                <w:rFonts w:cs="Calibri"/>
                <w:b w:val="0"/>
                <w:bCs w:val="0"/>
                <w:color w:val="000000" w:themeColor="text1"/>
                <w:sz w:val="24"/>
                <w:szCs w:val="24"/>
              </w:rPr>
              <w:t xml:space="preserve"> 202</w:t>
            </w:r>
            <w:r>
              <w:rPr>
                <w:rFonts w:cs="Calibri"/>
                <w:b w:val="0"/>
                <w:bCs w:val="0"/>
                <w:color w:val="000000" w:themeColor="text1"/>
                <w:sz w:val="24"/>
                <w:szCs w:val="24"/>
              </w:rPr>
              <w:t>3</w:t>
            </w:r>
          </w:p>
        </w:tc>
        <w:tc>
          <w:tcPr>
            <w:tcW w:w="6570" w:type="dxa"/>
          </w:tcPr>
          <w:p w14:paraId="168B0433" w14:textId="3EBE34B5" w:rsidR="0043431C" w:rsidRPr="002A1F25" w:rsidRDefault="00535861" w:rsidP="002A1F25">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Rok za dos</w:t>
            </w:r>
            <w:r>
              <w:rPr>
                <w:rFonts w:cs="Calibri"/>
                <w:color w:val="000000" w:themeColor="text1"/>
                <w:sz w:val="24"/>
                <w:szCs w:val="24"/>
              </w:rPr>
              <w:t>tavljanje projekata opština u MR</w:t>
            </w:r>
            <w:r w:rsidRPr="00535861">
              <w:rPr>
                <w:rFonts w:cs="Calibri"/>
                <w:color w:val="000000" w:themeColor="text1"/>
                <w:sz w:val="24"/>
                <w:szCs w:val="24"/>
              </w:rPr>
              <w:t>R (osim zahteva iz kategorije dva i tri koji se kontinuirano prihvataju tokom 2023. godine)</w:t>
            </w:r>
          </w:p>
        </w:tc>
      </w:tr>
      <w:tr w:rsidR="002A1F25" w:rsidRPr="002A1F25" w14:paraId="71B8A9D9" w14:textId="77777777" w:rsidTr="002A1F25">
        <w:trPr>
          <w:trHeight w:val="485"/>
        </w:trPr>
        <w:tc>
          <w:tcPr>
            <w:cnfStyle w:val="001000000000" w:firstRow="0" w:lastRow="0" w:firstColumn="1" w:lastColumn="0" w:oddVBand="0" w:evenVBand="0" w:oddHBand="0" w:evenHBand="0" w:firstRowFirstColumn="0" w:firstRowLastColumn="0" w:lastRowFirstColumn="0" w:lastRowLastColumn="0"/>
            <w:tcW w:w="2718" w:type="dxa"/>
          </w:tcPr>
          <w:p w14:paraId="4B3E6A22" w14:textId="1C94405E" w:rsidR="0043431C" w:rsidRPr="002A1F25" w:rsidRDefault="00372454"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10</w:t>
            </w:r>
            <w:r w:rsidR="0043431C" w:rsidRPr="002A1F25">
              <w:rPr>
                <w:rFonts w:cs="Calibri"/>
                <w:b w:val="0"/>
                <w:bCs w:val="0"/>
                <w:color w:val="000000" w:themeColor="text1"/>
                <w:sz w:val="24"/>
                <w:szCs w:val="24"/>
              </w:rPr>
              <w:t xml:space="preserve"> </w:t>
            </w:r>
            <w:r>
              <w:rPr>
                <w:rFonts w:cs="Calibri"/>
                <w:b w:val="0"/>
                <w:bCs w:val="0"/>
                <w:color w:val="000000" w:themeColor="text1"/>
                <w:sz w:val="24"/>
                <w:szCs w:val="24"/>
              </w:rPr>
              <w:t>oktobar</w:t>
            </w:r>
            <w:r w:rsidR="0043431C" w:rsidRPr="002A1F25">
              <w:rPr>
                <w:rFonts w:cs="Calibri"/>
                <w:b w:val="0"/>
                <w:bCs w:val="0"/>
                <w:color w:val="000000" w:themeColor="text1"/>
                <w:sz w:val="24"/>
                <w:szCs w:val="24"/>
              </w:rPr>
              <w:t xml:space="preserve"> 202</w:t>
            </w:r>
            <w:r>
              <w:rPr>
                <w:rFonts w:cs="Calibri"/>
                <w:b w:val="0"/>
                <w:bCs w:val="0"/>
                <w:color w:val="000000" w:themeColor="text1"/>
                <w:sz w:val="24"/>
                <w:szCs w:val="24"/>
              </w:rPr>
              <w:t>3</w:t>
            </w:r>
          </w:p>
        </w:tc>
        <w:tc>
          <w:tcPr>
            <w:tcW w:w="6570" w:type="dxa"/>
          </w:tcPr>
          <w:p w14:paraId="59DC410E" w14:textId="6495CC97" w:rsidR="0043431C" w:rsidRPr="002A1F25" w:rsidRDefault="00535861" w:rsidP="002A1F25">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Pr>
                <w:rFonts w:cs="Calibri"/>
                <w:color w:val="000000" w:themeColor="text1"/>
                <w:sz w:val="24"/>
                <w:szCs w:val="24"/>
              </w:rPr>
              <w:t>MR</w:t>
            </w:r>
            <w:r w:rsidRPr="00535861">
              <w:rPr>
                <w:rFonts w:cs="Calibri"/>
                <w:color w:val="000000" w:themeColor="text1"/>
                <w:sz w:val="24"/>
                <w:szCs w:val="24"/>
              </w:rPr>
              <w:t>R vrši evaluaciju projekta.</w:t>
            </w:r>
          </w:p>
        </w:tc>
      </w:tr>
      <w:tr w:rsidR="00372454" w:rsidRPr="002A1F25" w14:paraId="632B45B8" w14:textId="77777777" w:rsidTr="002A1F2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718" w:type="dxa"/>
          </w:tcPr>
          <w:p w14:paraId="5AC476E7" w14:textId="0401A451" w:rsidR="00372454" w:rsidRDefault="00372454"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10-24 oktobar 2023</w:t>
            </w:r>
          </w:p>
        </w:tc>
        <w:tc>
          <w:tcPr>
            <w:tcW w:w="6570" w:type="dxa"/>
          </w:tcPr>
          <w:p w14:paraId="3E1267F7" w14:textId="34CD52E8" w:rsidR="00372454" w:rsidRDefault="00372454" w:rsidP="002A1F25">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372454">
              <w:rPr>
                <w:rFonts w:cs="Calibri"/>
                <w:color w:val="000000" w:themeColor="text1"/>
                <w:sz w:val="24"/>
                <w:szCs w:val="24"/>
              </w:rPr>
              <w:t>MRD, sprovodi terenske posete za prethodno kvalifikovane projekte</w:t>
            </w:r>
          </w:p>
        </w:tc>
      </w:tr>
      <w:tr w:rsidR="00B12DBF" w:rsidRPr="002A1F25" w14:paraId="0B0F7FC4" w14:textId="77777777" w:rsidTr="002A1F25">
        <w:trPr>
          <w:trHeight w:val="485"/>
        </w:trPr>
        <w:tc>
          <w:tcPr>
            <w:cnfStyle w:val="001000000000" w:firstRow="0" w:lastRow="0" w:firstColumn="1" w:lastColumn="0" w:oddVBand="0" w:evenVBand="0" w:oddHBand="0" w:evenHBand="0" w:firstRowFirstColumn="0" w:firstRowLastColumn="0" w:lastRowFirstColumn="0" w:lastRowLastColumn="0"/>
            <w:tcW w:w="2718" w:type="dxa"/>
          </w:tcPr>
          <w:p w14:paraId="1C4544E5" w14:textId="6B444599" w:rsidR="00B12DBF" w:rsidRDefault="00B12DBF"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24 oktobar - 24 Novembar 2023</w:t>
            </w:r>
          </w:p>
        </w:tc>
        <w:tc>
          <w:tcPr>
            <w:tcW w:w="6570" w:type="dxa"/>
          </w:tcPr>
          <w:p w14:paraId="2870D105" w14:textId="13033ACB" w:rsidR="00B12DBF" w:rsidRPr="00372454" w:rsidRDefault="00B12DBF" w:rsidP="002A1F25">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B12DBF">
              <w:rPr>
                <w:rFonts w:cs="Calibri"/>
                <w:color w:val="000000" w:themeColor="text1"/>
                <w:sz w:val="24"/>
                <w:szCs w:val="24"/>
              </w:rPr>
              <w:t>MDR za uspešne prijave daje rok unapred kvalifikovanim opštinama za podnošenje detaljnih/projekata implementacije.</w:t>
            </w:r>
          </w:p>
        </w:tc>
      </w:tr>
      <w:tr w:rsidR="00B12DBF" w:rsidRPr="002A1F25" w14:paraId="464842EE" w14:textId="77777777" w:rsidTr="002A1F2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718" w:type="dxa"/>
          </w:tcPr>
          <w:p w14:paraId="628E74D7" w14:textId="55CCB807" w:rsidR="00B12DBF" w:rsidRDefault="00B12DBF"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24 Novembar</w:t>
            </w:r>
            <w:r w:rsidR="00E67573">
              <w:rPr>
                <w:rFonts w:cs="Calibri"/>
                <w:b w:val="0"/>
                <w:bCs w:val="0"/>
                <w:color w:val="000000" w:themeColor="text1"/>
                <w:sz w:val="24"/>
                <w:szCs w:val="24"/>
              </w:rPr>
              <w:t xml:space="preserve"> – 01 Decembar 2</w:t>
            </w:r>
            <w:r>
              <w:rPr>
                <w:rFonts w:cs="Calibri"/>
                <w:b w:val="0"/>
                <w:bCs w:val="0"/>
                <w:color w:val="000000" w:themeColor="text1"/>
                <w:sz w:val="24"/>
                <w:szCs w:val="24"/>
              </w:rPr>
              <w:t>023</w:t>
            </w:r>
          </w:p>
        </w:tc>
        <w:tc>
          <w:tcPr>
            <w:tcW w:w="6570" w:type="dxa"/>
          </w:tcPr>
          <w:p w14:paraId="0E254156" w14:textId="2D9EE528" w:rsidR="00B12DBF" w:rsidRPr="00B12DBF" w:rsidRDefault="00E67573" w:rsidP="002A1F25">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E67573">
              <w:rPr>
                <w:rFonts w:cs="Calibri"/>
                <w:color w:val="000000" w:themeColor="text1"/>
                <w:sz w:val="24"/>
                <w:szCs w:val="24"/>
              </w:rPr>
              <w:t xml:space="preserve">MDR priprema </w:t>
            </w:r>
            <w:r w:rsidRPr="00DC7359">
              <w:rPr>
                <w:rFonts w:eastAsiaTheme="majorEastAsia" w:cs="Calibri"/>
                <w:color w:val="000000" w:themeColor="text1"/>
                <w:sz w:val="24"/>
                <w:szCs w:val="24"/>
              </w:rPr>
              <w:t>memoranduma</w:t>
            </w:r>
            <w:r w:rsidRPr="00E67573">
              <w:rPr>
                <w:rFonts w:cs="Calibri"/>
                <w:color w:val="000000" w:themeColor="text1"/>
                <w:sz w:val="24"/>
                <w:szCs w:val="24"/>
              </w:rPr>
              <w:t xml:space="preserve"> o razumevanju i opštinama putem e-pošte </w:t>
            </w:r>
            <w:r>
              <w:rPr>
                <w:rFonts w:cs="Calibri"/>
                <w:color w:val="000000" w:themeColor="text1"/>
                <w:sz w:val="24"/>
                <w:szCs w:val="24"/>
              </w:rPr>
              <w:t>po</w:t>
            </w:r>
            <w:r w:rsidRPr="00E67573">
              <w:rPr>
                <w:rFonts w:cs="Calibri"/>
                <w:color w:val="000000" w:themeColor="text1"/>
                <w:sz w:val="24"/>
                <w:szCs w:val="24"/>
              </w:rPr>
              <w:t>šaljemo konačan nacrt</w:t>
            </w:r>
            <w:r>
              <w:rPr>
                <w:rFonts w:cs="Calibri"/>
                <w:color w:val="000000" w:themeColor="text1"/>
                <w:sz w:val="24"/>
                <w:szCs w:val="24"/>
              </w:rPr>
              <w:t>.</w:t>
            </w:r>
            <w:r w:rsidRPr="00E67573">
              <w:rPr>
                <w:rFonts w:cs="Calibri"/>
                <w:color w:val="000000" w:themeColor="text1"/>
                <w:sz w:val="24"/>
                <w:szCs w:val="24"/>
              </w:rPr>
              <w:t xml:space="preserve"> </w:t>
            </w:r>
          </w:p>
        </w:tc>
      </w:tr>
      <w:tr w:rsidR="002A1F25" w:rsidRPr="002A1F25" w14:paraId="3F200D13" w14:textId="77777777" w:rsidTr="002A1F25">
        <w:trPr>
          <w:trHeight w:val="305"/>
        </w:trPr>
        <w:tc>
          <w:tcPr>
            <w:cnfStyle w:val="001000000000" w:firstRow="0" w:lastRow="0" w:firstColumn="1" w:lastColumn="0" w:oddVBand="0" w:evenVBand="0" w:oddHBand="0" w:evenHBand="0" w:firstRowFirstColumn="0" w:firstRowLastColumn="0" w:lastRowFirstColumn="0" w:lastRowLastColumn="0"/>
            <w:tcW w:w="2718" w:type="dxa"/>
          </w:tcPr>
          <w:p w14:paraId="760CE089" w14:textId="27545D4E" w:rsidR="0043431C" w:rsidRPr="002A1F25" w:rsidRDefault="00E67573" w:rsidP="002A1F25">
            <w:pPr>
              <w:spacing w:after="0"/>
              <w:jc w:val="right"/>
              <w:rPr>
                <w:rFonts w:cs="Calibri"/>
                <w:b w:val="0"/>
                <w:bCs w:val="0"/>
                <w:color w:val="000000" w:themeColor="text1"/>
                <w:sz w:val="24"/>
                <w:szCs w:val="24"/>
              </w:rPr>
            </w:pPr>
            <w:r>
              <w:rPr>
                <w:rFonts w:cs="Calibri"/>
                <w:b w:val="0"/>
                <w:bCs w:val="0"/>
                <w:color w:val="000000" w:themeColor="text1"/>
                <w:sz w:val="24"/>
                <w:szCs w:val="24"/>
              </w:rPr>
              <w:t>11</w:t>
            </w:r>
            <w:r w:rsidR="00304572">
              <w:rPr>
                <w:rFonts w:cs="Calibri"/>
                <w:b w:val="0"/>
                <w:bCs w:val="0"/>
                <w:color w:val="000000" w:themeColor="text1"/>
                <w:sz w:val="24"/>
                <w:szCs w:val="24"/>
              </w:rPr>
              <w:t xml:space="preserve"> – </w:t>
            </w:r>
            <w:r>
              <w:rPr>
                <w:rFonts w:cs="Calibri"/>
                <w:b w:val="0"/>
                <w:bCs w:val="0"/>
                <w:color w:val="000000" w:themeColor="text1"/>
                <w:sz w:val="24"/>
                <w:szCs w:val="24"/>
              </w:rPr>
              <w:t>15</w:t>
            </w:r>
            <w:r w:rsidR="00304572">
              <w:rPr>
                <w:rFonts w:cs="Calibri"/>
                <w:b w:val="0"/>
                <w:bCs w:val="0"/>
                <w:color w:val="000000" w:themeColor="text1"/>
                <w:sz w:val="24"/>
                <w:szCs w:val="24"/>
              </w:rPr>
              <w:t xml:space="preserve"> </w:t>
            </w:r>
            <w:r>
              <w:rPr>
                <w:rFonts w:cs="Calibri"/>
                <w:b w:val="0"/>
                <w:bCs w:val="0"/>
                <w:color w:val="000000" w:themeColor="text1"/>
                <w:sz w:val="24"/>
                <w:szCs w:val="24"/>
              </w:rPr>
              <w:t>Decembar</w:t>
            </w:r>
            <w:r w:rsidR="0043431C" w:rsidRPr="002A1F25">
              <w:rPr>
                <w:rFonts w:cs="Calibri"/>
                <w:b w:val="0"/>
                <w:bCs w:val="0"/>
                <w:color w:val="000000" w:themeColor="text1"/>
                <w:sz w:val="24"/>
                <w:szCs w:val="24"/>
              </w:rPr>
              <w:t xml:space="preserve"> 2022</w:t>
            </w:r>
          </w:p>
        </w:tc>
        <w:tc>
          <w:tcPr>
            <w:tcW w:w="6570" w:type="dxa"/>
          </w:tcPr>
          <w:p w14:paraId="670ED576" w14:textId="34D98755" w:rsidR="0043431C" w:rsidRPr="002A1F25" w:rsidRDefault="00535861" w:rsidP="002A1F25">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Memorandum o razumevanju potpisuju strane navedene u MoR</w:t>
            </w:r>
          </w:p>
        </w:tc>
      </w:tr>
      <w:tr w:rsidR="002A1F25" w:rsidRPr="002A1F25" w14:paraId="421704A2" w14:textId="77777777" w:rsidTr="002A1F25">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718" w:type="dxa"/>
          </w:tcPr>
          <w:p w14:paraId="4BA25962" w14:textId="1FEA8A5D" w:rsidR="0043431C" w:rsidRPr="002A1F25" w:rsidRDefault="00304572"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Januar/Februar</w:t>
            </w:r>
            <w:r w:rsidR="0043431C" w:rsidRPr="002A1F25">
              <w:rPr>
                <w:rFonts w:cs="Calibri"/>
                <w:b w:val="0"/>
                <w:bCs w:val="0"/>
                <w:color w:val="000000" w:themeColor="text1"/>
                <w:sz w:val="24"/>
                <w:szCs w:val="24"/>
              </w:rPr>
              <w:t xml:space="preserve"> 202</w:t>
            </w:r>
            <w:r w:rsidR="00E67573">
              <w:rPr>
                <w:rFonts w:cs="Calibri"/>
                <w:b w:val="0"/>
                <w:bCs w:val="0"/>
                <w:color w:val="000000" w:themeColor="text1"/>
                <w:sz w:val="24"/>
                <w:szCs w:val="24"/>
              </w:rPr>
              <w:t>4</w:t>
            </w:r>
          </w:p>
        </w:tc>
        <w:tc>
          <w:tcPr>
            <w:tcW w:w="6570" w:type="dxa"/>
          </w:tcPr>
          <w:p w14:paraId="47F864FD" w14:textId="77777777" w:rsidR="00535861" w:rsidRPr="00535861" w:rsidRDefault="00535861" w:rsidP="00535861">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Priprema PJI i odobravanje projekata u Vladi</w:t>
            </w:r>
          </w:p>
          <w:p w14:paraId="314513D8" w14:textId="1F4722D7" w:rsidR="0043431C" w:rsidRPr="002A1F25" w:rsidRDefault="00535861" w:rsidP="00535861">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Opredjeljenje sredstava po projektima</w:t>
            </w:r>
          </w:p>
        </w:tc>
      </w:tr>
      <w:tr w:rsidR="002A1F25" w:rsidRPr="002A1F25" w14:paraId="248227D5" w14:textId="77777777" w:rsidTr="002A1F25">
        <w:tc>
          <w:tcPr>
            <w:cnfStyle w:val="001000000000" w:firstRow="0" w:lastRow="0" w:firstColumn="1" w:lastColumn="0" w:oddVBand="0" w:evenVBand="0" w:oddHBand="0" w:evenHBand="0" w:firstRowFirstColumn="0" w:firstRowLastColumn="0" w:lastRowFirstColumn="0" w:lastRowLastColumn="0"/>
            <w:tcW w:w="2718" w:type="dxa"/>
          </w:tcPr>
          <w:p w14:paraId="0819996A" w14:textId="77084811" w:rsidR="0043431C" w:rsidRPr="002A1F25" w:rsidRDefault="00304572" w:rsidP="002A1F25">
            <w:pPr>
              <w:spacing w:after="0"/>
              <w:jc w:val="right"/>
              <w:rPr>
                <w:rFonts w:cs="Calibri"/>
                <w:b w:val="0"/>
                <w:bCs w:val="0"/>
                <w:color w:val="000000" w:themeColor="text1"/>
                <w:sz w:val="24"/>
                <w:szCs w:val="24"/>
              </w:rPr>
            </w:pPr>
            <w:r>
              <w:rPr>
                <w:rFonts w:cs="Calibri"/>
                <w:b w:val="0"/>
                <w:bCs w:val="0"/>
                <w:color w:val="000000" w:themeColor="text1"/>
                <w:sz w:val="24"/>
                <w:szCs w:val="24"/>
              </w:rPr>
              <w:t>Februar/</w:t>
            </w:r>
            <w:r w:rsidR="00E67573">
              <w:rPr>
                <w:rFonts w:cs="Calibri"/>
                <w:b w:val="0"/>
                <w:bCs w:val="0"/>
                <w:color w:val="000000" w:themeColor="text1"/>
                <w:sz w:val="24"/>
                <w:szCs w:val="24"/>
              </w:rPr>
              <w:t>April</w:t>
            </w:r>
            <w:r w:rsidR="0043431C" w:rsidRPr="002A1F25">
              <w:rPr>
                <w:rFonts w:cs="Calibri"/>
                <w:b w:val="0"/>
                <w:bCs w:val="0"/>
                <w:color w:val="000000" w:themeColor="text1"/>
                <w:sz w:val="24"/>
                <w:szCs w:val="24"/>
              </w:rPr>
              <w:t xml:space="preserve"> 202</w:t>
            </w:r>
            <w:r w:rsidR="00E67573">
              <w:rPr>
                <w:rFonts w:cs="Calibri"/>
                <w:b w:val="0"/>
                <w:bCs w:val="0"/>
                <w:color w:val="000000" w:themeColor="text1"/>
                <w:sz w:val="24"/>
                <w:szCs w:val="24"/>
              </w:rPr>
              <w:t>4</w:t>
            </w:r>
          </w:p>
        </w:tc>
        <w:tc>
          <w:tcPr>
            <w:tcW w:w="6570" w:type="dxa"/>
          </w:tcPr>
          <w:p w14:paraId="1ED24880" w14:textId="77777777" w:rsidR="00535861" w:rsidRPr="00535861" w:rsidRDefault="00535861" w:rsidP="00535861">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Priprema dokumentacije i raspisivanje tendera</w:t>
            </w:r>
          </w:p>
          <w:p w14:paraId="1D1407F6" w14:textId="04340B1B" w:rsidR="0043431C" w:rsidRPr="002A1F25" w:rsidRDefault="00535861" w:rsidP="00535861">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Počinju procedure nabavke prema MO</w:t>
            </w:r>
          </w:p>
        </w:tc>
      </w:tr>
      <w:tr w:rsidR="002A1F25" w:rsidRPr="002A1F25" w14:paraId="13478D15" w14:textId="77777777" w:rsidTr="002A1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303EEA73" w14:textId="2755B8CE" w:rsidR="0043431C" w:rsidRPr="002A1F25" w:rsidRDefault="00304572" w:rsidP="002A1F25">
            <w:pPr>
              <w:spacing w:after="0"/>
              <w:jc w:val="right"/>
              <w:rPr>
                <w:rFonts w:cs="Calibri"/>
                <w:b w:val="0"/>
                <w:bCs w:val="0"/>
                <w:color w:val="000000" w:themeColor="text1"/>
                <w:sz w:val="24"/>
                <w:szCs w:val="24"/>
              </w:rPr>
            </w:pPr>
            <w:r>
              <w:rPr>
                <w:rFonts w:cs="Calibri"/>
                <w:b w:val="0"/>
                <w:bCs w:val="0"/>
                <w:color w:val="000000" w:themeColor="text1"/>
                <w:sz w:val="24"/>
                <w:szCs w:val="24"/>
              </w:rPr>
              <w:t>Mart</w:t>
            </w:r>
            <w:r w:rsidR="00E67573">
              <w:rPr>
                <w:rFonts w:cs="Calibri"/>
                <w:b w:val="0"/>
                <w:bCs w:val="0"/>
                <w:color w:val="000000" w:themeColor="text1"/>
                <w:sz w:val="24"/>
                <w:szCs w:val="24"/>
              </w:rPr>
              <w:t>-</w:t>
            </w:r>
            <w:r w:rsidR="0043431C" w:rsidRPr="002A1F25">
              <w:rPr>
                <w:rFonts w:cs="Calibri"/>
                <w:b w:val="0"/>
                <w:bCs w:val="0"/>
                <w:color w:val="000000" w:themeColor="text1"/>
                <w:sz w:val="24"/>
                <w:szCs w:val="24"/>
              </w:rPr>
              <w:t>Maj 202</w:t>
            </w:r>
            <w:r w:rsidR="00E67573">
              <w:rPr>
                <w:rFonts w:cs="Calibri"/>
                <w:b w:val="0"/>
                <w:bCs w:val="0"/>
                <w:color w:val="000000" w:themeColor="text1"/>
                <w:sz w:val="24"/>
                <w:szCs w:val="24"/>
              </w:rPr>
              <w:t>4</w:t>
            </w:r>
          </w:p>
        </w:tc>
        <w:tc>
          <w:tcPr>
            <w:tcW w:w="6570" w:type="dxa"/>
          </w:tcPr>
          <w:p w14:paraId="268B71B2" w14:textId="77777777" w:rsidR="00535861" w:rsidRPr="00535861" w:rsidRDefault="00535861" w:rsidP="00535861">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Procena tendera i priprema ugovora,</w:t>
            </w:r>
          </w:p>
          <w:p w14:paraId="5532A743" w14:textId="4E957EBF" w:rsidR="0043431C" w:rsidRPr="002A1F25" w:rsidRDefault="00535861" w:rsidP="00535861">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Početak radova,</w:t>
            </w:r>
          </w:p>
        </w:tc>
      </w:tr>
      <w:tr w:rsidR="002A1F25" w:rsidRPr="002A1F25" w14:paraId="3B8426EC" w14:textId="77777777" w:rsidTr="002A1F25">
        <w:trPr>
          <w:trHeight w:val="350"/>
        </w:trPr>
        <w:tc>
          <w:tcPr>
            <w:cnfStyle w:val="001000000000" w:firstRow="0" w:lastRow="0" w:firstColumn="1" w:lastColumn="0" w:oddVBand="0" w:evenVBand="0" w:oddHBand="0" w:evenHBand="0" w:firstRowFirstColumn="0" w:firstRowLastColumn="0" w:lastRowFirstColumn="0" w:lastRowLastColumn="0"/>
            <w:tcW w:w="2718" w:type="dxa"/>
          </w:tcPr>
          <w:p w14:paraId="3AFC2D01" w14:textId="1F53F9C3" w:rsidR="0043431C" w:rsidRPr="002A1F25" w:rsidRDefault="00304572"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Ma</w:t>
            </w:r>
            <w:r w:rsidR="00E67573">
              <w:rPr>
                <w:rFonts w:cs="Calibri"/>
                <w:b w:val="0"/>
                <w:bCs w:val="0"/>
                <w:color w:val="000000" w:themeColor="text1"/>
                <w:sz w:val="24"/>
                <w:szCs w:val="24"/>
              </w:rPr>
              <w:t>rt-</w:t>
            </w:r>
            <w:r>
              <w:rPr>
                <w:rFonts w:cs="Calibri"/>
                <w:b w:val="0"/>
                <w:bCs w:val="0"/>
                <w:color w:val="000000" w:themeColor="text1"/>
                <w:sz w:val="24"/>
                <w:szCs w:val="24"/>
              </w:rPr>
              <w:t>Decembar</w:t>
            </w:r>
            <w:r w:rsidR="0043431C" w:rsidRPr="002A1F25">
              <w:rPr>
                <w:rFonts w:cs="Calibri"/>
                <w:b w:val="0"/>
                <w:bCs w:val="0"/>
                <w:color w:val="000000" w:themeColor="text1"/>
                <w:sz w:val="24"/>
                <w:szCs w:val="24"/>
              </w:rPr>
              <w:t xml:space="preserve"> 202</w:t>
            </w:r>
            <w:r w:rsidR="00E67573">
              <w:rPr>
                <w:rFonts w:cs="Calibri"/>
                <w:b w:val="0"/>
                <w:bCs w:val="0"/>
                <w:color w:val="000000" w:themeColor="text1"/>
                <w:sz w:val="24"/>
                <w:szCs w:val="24"/>
              </w:rPr>
              <w:t>4</w:t>
            </w:r>
          </w:p>
        </w:tc>
        <w:tc>
          <w:tcPr>
            <w:tcW w:w="6570" w:type="dxa"/>
          </w:tcPr>
          <w:p w14:paraId="7408EF0B" w14:textId="56FFED2A" w:rsidR="00535861" w:rsidRPr="00535861" w:rsidRDefault="00535861" w:rsidP="00535861">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Pr>
                <w:rFonts w:cs="Calibri"/>
                <w:color w:val="000000" w:themeColor="text1"/>
                <w:sz w:val="24"/>
                <w:szCs w:val="24"/>
              </w:rPr>
              <w:t>MR</w:t>
            </w:r>
            <w:r w:rsidRPr="00535861">
              <w:rPr>
                <w:rFonts w:cs="Calibri"/>
                <w:color w:val="000000" w:themeColor="text1"/>
                <w:sz w:val="24"/>
                <w:szCs w:val="24"/>
              </w:rPr>
              <w:t>R prati i kontroliše realizaciju projekta.</w:t>
            </w:r>
          </w:p>
          <w:p w14:paraId="15C76B1D" w14:textId="68EDD913" w:rsidR="00535861" w:rsidRPr="00535861" w:rsidRDefault="00535861" w:rsidP="00535861">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Izv</w:t>
            </w:r>
            <w:r>
              <w:rPr>
                <w:rFonts w:cs="Calibri"/>
                <w:color w:val="000000" w:themeColor="text1"/>
                <w:sz w:val="24"/>
                <w:szCs w:val="24"/>
              </w:rPr>
              <w:t>eštaje o napretku opština ili MR</w:t>
            </w:r>
            <w:r w:rsidRPr="00535861">
              <w:rPr>
                <w:rFonts w:cs="Calibri"/>
                <w:color w:val="000000" w:themeColor="text1"/>
                <w:sz w:val="24"/>
                <w:szCs w:val="24"/>
              </w:rPr>
              <w:t>R utvrđuje MO.</w:t>
            </w:r>
          </w:p>
          <w:p w14:paraId="6D0031D2" w14:textId="28CFC397" w:rsidR="00F369AC" w:rsidRPr="002A1F25" w:rsidRDefault="00535861" w:rsidP="00535861">
            <w:pPr>
              <w:spacing w:after="0"/>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Pr>
                <w:rFonts w:cs="Calibri"/>
                <w:color w:val="000000" w:themeColor="text1"/>
                <w:sz w:val="24"/>
                <w:szCs w:val="24"/>
              </w:rPr>
              <w:t>MR</w:t>
            </w:r>
            <w:r w:rsidRPr="00535861">
              <w:rPr>
                <w:rFonts w:cs="Calibri"/>
                <w:color w:val="000000" w:themeColor="text1"/>
                <w:sz w:val="24"/>
                <w:szCs w:val="24"/>
              </w:rPr>
              <w:t>R i opštine sistematski predstavljaju na društvenim platformama (Facebook, Instagram, Tvitter, itd.) napredak tokom realizacije projekata. Objave (kratak tekst i neke fotografije) moraju da sadrže logo M</w:t>
            </w:r>
            <w:r>
              <w:rPr>
                <w:rFonts w:cs="Calibri"/>
                <w:color w:val="000000" w:themeColor="text1"/>
                <w:sz w:val="24"/>
                <w:szCs w:val="24"/>
              </w:rPr>
              <w:t>R</w:t>
            </w:r>
            <w:r w:rsidRPr="00535861">
              <w:rPr>
                <w:rFonts w:cs="Calibri"/>
                <w:color w:val="000000" w:themeColor="text1"/>
                <w:sz w:val="24"/>
                <w:szCs w:val="24"/>
              </w:rPr>
              <w:t>R-a i odgovarajućih opština.</w:t>
            </w:r>
          </w:p>
        </w:tc>
      </w:tr>
      <w:tr w:rsidR="002A1F25" w:rsidRPr="002A1F25" w14:paraId="20FBCE38" w14:textId="77777777" w:rsidTr="002A1F2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18" w:type="dxa"/>
          </w:tcPr>
          <w:p w14:paraId="57D5F949" w14:textId="0CDBCB4E" w:rsidR="0043431C" w:rsidRPr="002A1F25" w:rsidRDefault="00E67573"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Mart-Decembar</w:t>
            </w:r>
            <w:r w:rsidRPr="002A1F25">
              <w:rPr>
                <w:rFonts w:cs="Calibri"/>
                <w:b w:val="0"/>
                <w:bCs w:val="0"/>
                <w:color w:val="000000" w:themeColor="text1"/>
                <w:sz w:val="24"/>
                <w:szCs w:val="24"/>
              </w:rPr>
              <w:t xml:space="preserve"> </w:t>
            </w:r>
            <w:r w:rsidR="0043431C" w:rsidRPr="002A1F25">
              <w:rPr>
                <w:rFonts w:cs="Calibri"/>
                <w:b w:val="0"/>
                <w:bCs w:val="0"/>
                <w:color w:val="000000" w:themeColor="text1"/>
                <w:sz w:val="24"/>
                <w:szCs w:val="24"/>
              </w:rPr>
              <w:t>202</w:t>
            </w:r>
            <w:r>
              <w:rPr>
                <w:rFonts w:cs="Calibri"/>
                <w:b w:val="0"/>
                <w:bCs w:val="0"/>
                <w:color w:val="000000" w:themeColor="text1"/>
                <w:sz w:val="24"/>
                <w:szCs w:val="24"/>
              </w:rPr>
              <w:t>4</w:t>
            </w:r>
          </w:p>
        </w:tc>
        <w:tc>
          <w:tcPr>
            <w:tcW w:w="6570" w:type="dxa"/>
          </w:tcPr>
          <w:p w14:paraId="0E5B57B6" w14:textId="77777777" w:rsidR="00535861" w:rsidRPr="00535861" w:rsidRDefault="00535861" w:rsidP="00535861">
            <w:pPr>
              <w:spacing w:after="0"/>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Prijem artikala na plaćanje od opština.</w:t>
            </w:r>
          </w:p>
          <w:p w14:paraId="318D9E39" w14:textId="6CFC0468" w:rsidR="0043431C" w:rsidRPr="002A1F25" w:rsidRDefault="00535861" w:rsidP="00535861">
            <w:pPr>
              <w:spacing w:after="0"/>
              <w:contextualSpacing/>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Rok za prijem predmeta na plaćanje po opštinama 1</w:t>
            </w:r>
            <w:r w:rsidR="00E67573">
              <w:rPr>
                <w:rFonts w:cs="Calibri"/>
                <w:color w:val="000000" w:themeColor="text1"/>
                <w:sz w:val="24"/>
                <w:szCs w:val="24"/>
              </w:rPr>
              <w:t>7</w:t>
            </w:r>
            <w:r w:rsidRPr="00535861">
              <w:rPr>
                <w:rFonts w:cs="Calibri"/>
                <w:color w:val="000000" w:themeColor="text1"/>
                <w:sz w:val="24"/>
                <w:szCs w:val="24"/>
              </w:rPr>
              <w:t>.12.202</w:t>
            </w:r>
            <w:r w:rsidR="00E67573">
              <w:rPr>
                <w:rFonts w:cs="Calibri"/>
                <w:color w:val="000000" w:themeColor="text1"/>
                <w:sz w:val="24"/>
                <w:szCs w:val="24"/>
              </w:rPr>
              <w:t>4</w:t>
            </w:r>
          </w:p>
        </w:tc>
      </w:tr>
      <w:tr w:rsidR="002A1F25" w:rsidRPr="002A1F25" w14:paraId="5454EA6B" w14:textId="77777777" w:rsidTr="002A1F25">
        <w:trPr>
          <w:trHeight w:val="350"/>
        </w:trPr>
        <w:tc>
          <w:tcPr>
            <w:cnfStyle w:val="001000000000" w:firstRow="0" w:lastRow="0" w:firstColumn="1" w:lastColumn="0" w:oddVBand="0" w:evenVBand="0" w:oddHBand="0" w:evenHBand="0" w:firstRowFirstColumn="0" w:firstRowLastColumn="0" w:lastRowFirstColumn="0" w:lastRowLastColumn="0"/>
            <w:tcW w:w="2718" w:type="dxa"/>
          </w:tcPr>
          <w:p w14:paraId="77230831" w14:textId="01A0325C" w:rsidR="0043431C" w:rsidRPr="002A1F25" w:rsidRDefault="007156C9" w:rsidP="002A1F25">
            <w:pPr>
              <w:spacing w:after="0"/>
              <w:ind w:left="360"/>
              <w:contextualSpacing/>
              <w:jc w:val="right"/>
              <w:rPr>
                <w:rFonts w:cs="Calibri"/>
                <w:b w:val="0"/>
                <w:bCs w:val="0"/>
                <w:color w:val="000000" w:themeColor="text1"/>
                <w:sz w:val="24"/>
                <w:szCs w:val="24"/>
              </w:rPr>
            </w:pPr>
            <w:r>
              <w:rPr>
                <w:rFonts w:cs="Calibri"/>
                <w:b w:val="0"/>
                <w:bCs w:val="0"/>
                <w:color w:val="000000" w:themeColor="text1"/>
                <w:sz w:val="24"/>
                <w:szCs w:val="24"/>
              </w:rPr>
              <w:t>Januar</w:t>
            </w:r>
            <w:r w:rsidR="0043431C" w:rsidRPr="002A1F25">
              <w:rPr>
                <w:rFonts w:cs="Calibri"/>
                <w:b w:val="0"/>
                <w:bCs w:val="0"/>
                <w:color w:val="000000" w:themeColor="text1"/>
                <w:sz w:val="24"/>
                <w:szCs w:val="24"/>
              </w:rPr>
              <w:t xml:space="preserve"> 2024</w:t>
            </w:r>
          </w:p>
        </w:tc>
        <w:tc>
          <w:tcPr>
            <w:tcW w:w="6570" w:type="dxa"/>
          </w:tcPr>
          <w:p w14:paraId="15FE3571" w14:textId="74A4DC37" w:rsidR="0043431C" w:rsidRPr="002A1F25" w:rsidRDefault="00535861" w:rsidP="002A1F25">
            <w:pPr>
              <w:spacing w:after="0"/>
              <w:contextualSpacing/>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4"/>
                <w:szCs w:val="24"/>
              </w:rPr>
            </w:pPr>
            <w:r w:rsidRPr="00535861">
              <w:rPr>
                <w:rFonts w:cs="Calibri"/>
                <w:color w:val="000000" w:themeColor="text1"/>
                <w:sz w:val="24"/>
                <w:szCs w:val="24"/>
              </w:rPr>
              <w:t>Konačni izveštaj</w:t>
            </w:r>
          </w:p>
        </w:tc>
      </w:tr>
    </w:tbl>
    <w:p w14:paraId="230EF8CC" w14:textId="77777777" w:rsidR="0043431C" w:rsidRPr="008D4D83" w:rsidRDefault="0043431C" w:rsidP="00A04B9D">
      <w:pPr>
        <w:spacing w:line="360" w:lineRule="auto"/>
        <w:rPr>
          <w:rFonts w:cs="Calibri"/>
          <w:color w:val="0070C0"/>
          <w:sz w:val="24"/>
          <w:szCs w:val="24"/>
        </w:rPr>
      </w:pPr>
    </w:p>
    <w:sectPr w:rsidR="0043431C" w:rsidRPr="008D4D83" w:rsidSect="000A1B23">
      <w:footerReference w:type="default" r:id="rId10"/>
      <w:pgSz w:w="11906" w:h="16838"/>
      <w:pgMar w:top="117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1AF8" w14:textId="77777777" w:rsidR="004C63E7" w:rsidRDefault="004C63E7" w:rsidP="003071F2">
      <w:pPr>
        <w:spacing w:after="0" w:line="240" w:lineRule="auto"/>
      </w:pPr>
      <w:r>
        <w:separator/>
      </w:r>
    </w:p>
  </w:endnote>
  <w:endnote w:type="continuationSeparator" w:id="0">
    <w:p w14:paraId="0CAD0044" w14:textId="77777777" w:rsidR="004C63E7" w:rsidRDefault="004C63E7" w:rsidP="0030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92B8" w14:textId="77777777" w:rsidR="00C7459F" w:rsidRDefault="00D848DA">
    <w:pPr>
      <w:pStyle w:val="Footer"/>
      <w:jc w:val="center"/>
    </w:pPr>
    <w:r>
      <w:fldChar w:fldCharType="begin"/>
    </w:r>
    <w:r w:rsidR="006578D8">
      <w:instrText xml:space="preserve"> PAGE   \* MERGEFORMAT </w:instrText>
    </w:r>
    <w:r>
      <w:fldChar w:fldCharType="separate"/>
    </w:r>
    <w:r w:rsidR="008643EB">
      <w:rPr>
        <w:noProof/>
      </w:rPr>
      <w:t>12</w:t>
    </w:r>
    <w:r>
      <w:rPr>
        <w:noProof/>
      </w:rPr>
      <w:fldChar w:fldCharType="end"/>
    </w:r>
  </w:p>
  <w:p w14:paraId="172B508C" w14:textId="77777777" w:rsidR="00C7459F" w:rsidRDefault="00C74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4A81" w14:textId="77777777" w:rsidR="004C63E7" w:rsidRDefault="004C63E7" w:rsidP="003071F2">
      <w:pPr>
        <w:spacing w:after="0" w:line="240" w:lineRule="auto"/>
      </w:pPr>
      <w:r>
        <w:separator/>
      </w:r>
    </w:p>
  </w:footnote>
  <w:footnote w:type="continuationSeparator" w:id="0">
    <w:p w14:paraId="0C84C07B" w14:textId="77777777" w:rsidR="004C63E7" w:rsidRDefault="004C63E7" w:rsidP="00307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1E0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23C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D095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FEA4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8E68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980D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9CD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36B6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BC2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4A23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21CC5"/>
    <w:multiLevelType w:val="hybridMultilevel"/>
    <w:tmpl w:val="AB740658"/>
    <w:lvl w:ilvl="0" w:tplc="935A6498">
      <w:start w:val="1"/>
      <w:numFmt w:val="decimal"/>
      <w:lvlText w:val="%1."/>
      <w:lvlJc w:val="left"/>
      <w:pPr>
        <w:ind w:left="360" w:firstLine="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0963"/>
    <w:multiLevelType w:val="hybridMultilevel"/>
    <w:tmpl w:val="7E0E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94771"/>
    <w:multiLevelType w:val="hybridMultilevel"/>
    <w:tmpl w:val="028037EA"/>
    <w:lvl w:ilvl="0" w:tplc="B400FC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CC2551"/>
    <w:multiLevelType w:val="hybridMultilevel"/>
    <w:tmpl w:val="7C347034"/>
    <w:lvl w:ilvl="0" w:tplc="066A55AE">
      <w:start w:val="1"/>
      <w:numFmt w:val="decimal"/>
      <w:lvlText w:val="%1."/>
      <w:lvlJc w:val="left"/>
      <w:pPr>
        <w:ind w:left="510" w:hanging="720"/>
      </w:pPr>
      <w:rPr>
        <w:rFonts w:ascii="Book Antiqua" w:eastAsia="MS Mincho" w:hAnsi="Book Antiqua" w:cs="Times New Roman"/>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4" w15:restartNumberingAfterBreak="0">
    <w:nsid w:val="12AA31BE"/>
    <w:multiLevelType w:val="multilevel"/>
    <w:tmpl w:val="E5801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3A133C7"/>
    <w:multiLevelType w:val="hybridMultilevel"/>
    <w:tmpl w:val="35CE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8652B"/>
    <w:multiLevelType w:val="hybridMultilevel"/>
    <w:tmpl w:val="C07A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700313"/>
    <w:multiLevelType w:val="hybridMultilevel"/>
    <w:tmpl w:val="570CE04A"/>
    <w:lvl w:ilvl="0" w:tplc="624A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D3A65"/>
    <w:multiLevelType w:val="hybridMultilevel"/>
    <w:tmpl w:val="C6DC6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EE44E10"/>
    <w:multiLevelType w:val="hybridMultilevel"/>
    <w:tmpl w:val="ED9AEB12"/>
    <w:lvl w:ilvl="0" w:tplc="118227AA">
      <w:start w:val="1"/>
      <w:numFmt w:val="decimalZero"/>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21D0662B"/>
    <w:multiLevelType w:val="hybridMultilevel"/>
    <w:tmpl w:val="FC54E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5F59CA"/>
    <w:multiLevelType w:val="hybridMultilevel"/>
    <w:tmpl w:val="CD04CFFE"/>
    <w:lvl w:ilvl="0" w:tplc="B400FC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A5411F"/>
    <w:multiLevelType w:val="hybridMultilevel"/>
    <w:tmpl w:val="2E4C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966E6C"/>
    <w:multiLevelType w:val="hybridMultilevel"/>
    <w:tmpl w:val="44165C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900D0E"/>
    <w:multiLevelType w:val="hybridMultilevel"/>
    <w:tmpl w:val="3C6096AA"/>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B07ECC"/>
    <w:multiLevelType w:val="hybridMultilevel"/>
    <w:tmpl w:val="E790372A"/>
    <w:lvl w:ilvl="0" w:tplc="9D9AC6B0">
      <w:start w:val="4"/>
      <w:numFmt w:val="bullet"/>
      <w:lvlText w:val="-"/>
      <w:lvlJc w:val="left"/>
      <w:pPr>
        <w:ind w:left="720" w:hanging="360"/>
      </w:pPr>
      <w:rPr>
        <w:rFonts w:ascii="Book Antiqua" w:eastAsia="MS Mincho"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A95D43"/>
    <w:multiLevelType w:val="hybridMultilevel"/>
    <w:tmpl w:val="1674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093C4A"/>
    <w:multiLevelType w:val="hybridMultilevel"/>
    <w:tmpl w:val="13AC02D2"/>
    <w:lvl w:ilvl="0" w:tplc="66A44038">
      <w:start w:val="1"/>
      <w:numFmt w:val="bullet"/>
      <w:lvlText w:val="-"/>
      <w:lvlJc w:val="left"/>
      <w:pPr>
        <w:ind w:left="720" w:hanging="360"/>
      </w:pPr>
      <w:rPr>
        <w:rFonts w:ascii="Book Antiqua" w:eastAsia="MS Mincho"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2A324C"/>
    <w:multiLevelType w:val="hybridMultilevel"/>
    <w:tmpl w:val="AA0E550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954838"/>
    <w:multiLevelType w:val="hybridMultilevel"/>
    <w:tmpl w:val="8324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2508FA"/>
    <w:multiLevelType w:val="hybridMultilevel"/>
    <w:tmpl w:val="FDD4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24AF6"/>
    <w:multiLevelType w:val="hybridMultilevel"/>
    <w:tmpl w:val="A014981A"/>
    <w:lvl w:ilvl="0" w:tplc="57C8291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B3950"/>
    <w:multiLevelType w:val="hybridMultilevel"/>
    <w:tmpl w:val="018A6264"/>
    <w:lvl w:ilvl="0" w:tplc="B400FCE6">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E53D4"/>
    <w:multiLevelType w:val="hybridMultilevel"/>
    <w:tmpl w:val="4BF685EC"/>
    <w:lvl w:ilvl="0" w:tplc="B400FC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56013"/>
    <w:multiLevelType w:val="hybridMultilevel"/>
    <w:tmpl w:val="0BFE809A"/>
    <w:lvl w:ilvl="0" w:tplc="B400FC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03DD2"/>
    <w:multiLevelType w:val="hybridMultilevel"/>
    <w:tmpl w:val="1CE2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82F38"/>
    <w:multiLevelType w:val="hybridMultilevel"/>
    <w:tmpl w:val="8CD6951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0B25282"/>
    <w:multiLevelType w:val="hybridMultilevel"/>
    <w:tmpl w:val="148E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24AE4"/>
    <w:multiLevelType w:val="hybridMultilevel"/>
    <w:tmpl w:val="AE70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C77F7"/>
    <w:multiLevelType w:val="hybridMultilevel"/>
    <w:tmpl w:val="37E6E9F0"/>
    <w:lvl w:ilvl="0" w:tplc="4EBAB710">
      <w:numFmt w:val="bullet"/>
      <w:lvlText w:val="-"/>
      <w:lvlJc w:val="left"/>
      <w:pPr>
        <w:ind w:left="720" w:hanging="360"/>
      </w:pPr>
      <w:rPr>
        <w:rFonts w:ascii="Book Antiqua" w:eastAsia="MS Mincho"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97690"/>
    <w:multiLevelType w:val="hybridMultilevel"/>
    <w:tmpl w:val="440C0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97DF6"/>
    <w:multiLevelType w:val="hybridMultilevel"/>
    <w:tmpl w:val="381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D5FBB"/>
    <w:multiLevelType w:val="hybridMultilevel"/>
    <w:tmpl w:val="8FDEB3B8"/>
    <w:lvl w:ilvl="0" w:tplc="4EBAB710">
      <w:numFmt w:val="bullet"/>
      <w:lvlText w:val="-"/>
      <w:lvlJc w:val="left"/>
      <w:pPr>
        <w:ind w:left="720" w:hanging="360"/>
      </w:pPr>
      <w:rPr>
        <w:rFonts w:ascii="Book Antiqua" w:eastAsia="MS Mincho"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67D4E"/>
    <w:multiLevelType w:val="hybridMultilevel"/>
    <w:tmpl w:val="EE745AF4"/>
    <w:lvl w:ilvl="0" w:tplc="4EBAB710">
      <w:numFmt w:val="bullet"/>
      <w:lvlText w:val="-"/>
      <w:lvlJc w:val="left"/>
      <w:pPr>
        <w:ind w:left="720" w:hanging="360"/>
      </w:pPr>
      <w:rPr>
        <w:rFonts w:ascii="Book Antiqua" w:eastAsia="MS Mincho"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D5CA6"/>
    <w:multiLevelType w:val="hybridMultilevel"/>
    <w:tmpl w:val="402E7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7F0C7A"/>
    <w:multiLevelType w:val="hybridMultilevel"/>
    <w:tmpl w:val="C9B4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F1AA5"/>
    <w:multiLevelType w:val="hybridMultilevel"/>
    <w:tmpl w:val="A054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F335D"/>
    <w:multiLevelType w:val="hybridMultilevel"/>
    <w:tmpl w:val="F7AA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5871">
    <w:abstractNumId w:val="35"/>
  </w:num>
  <w:num w:numId="2" w16cid:durableId="1051228891">
    <w:abstractNumId w:val="23"/>
  </w:num>
  <w:num w:numId="3" w16cid:durableId="875971976">
    <w:abstractNumId w:val="47"/>
  </w:num>
  <w:num w:numId="4" w16cid:durableId="902254964">
    <w:abstractNumId w:val="40"/>
  </w:num>
  <w:num w:numId="5" w16cid:durableId="2115706877">
    <w:abstractNumId w:val="20"/>
  </w:num>
  <w:num w:numId="6" w16cid:durableId="332228211">
    <w:abstractNumId w:val="16"/>
  </w:num>
  <w:num w:numId="7" w16cid:durableId="9064350">
    <w:abstractNumId w:val="37"/>
  </w:num>
  <w:num w:numId="8" w16cid:durableId="895358650">
    <w:abstractNumId w:val="36"/>
  </w:num>
  <w:num w:numId="9" w16cid:durableId="550269437">
    <w:abstractNumId w:val="18"/>
  </w:num>
  <w:num w:numId="10" w16cid:durableId="674575625">
    <w:abstractNumId w:val="9"/>
  </w:num>
  <w:num w:numId="11" w16cid:durableId="1112091354">
    <w:abstractNumId w:val="7"/>
  </w:num>
  <w:num w:numId="12" w16cid:durableId="1828787083">
    <w:abstractNumId w:val="6"/>
  </w:num>
  <w:num w:numId="13" w16cid:durableId="1240946634">
    <w:abstractNumId w:val="5"/>
  </w:num>
  <w:num w:numId="14" w16cid:durableId="123814352">
    <w:abstractNumId w:val="4"/>
  </w:num>
  <w:num w:numId="15" w16cid:durableId="610666192">
    <w:abstractNumId w:val="8"/>
  </w:num>
  <w:num w:numId="16" w16cid:durableId="833692030">
    <w:abstractNumId w:val="3"/>
  </w:num>
  <w:num w:numId="17" w16cid:durableId="1321695709">
    <w:abstractNumId w:val="2"/>
  </w:num>
  <w:num w:numId="18" w16cid:durableId="627780484">
    <w:abstractNumId w:val="1"/>
  </w:num>
  <w:num w:numId="19" w16cid:durableId="1560750210">
    <w:abstractNumId w:val="0"/>
  </w:num>
  <w:num w:numId="20" w16cid:durableId="120350253">
    <w:abstractNumId w:val="17"/>
  </w:num>
  <w:num w:numId="21" w16cid:durableId="1028720162">
    <w:abstractNumId w:val="28"/>
  </w:num>
  <w:num w:numId="22" w16cid:durableId="1514956399">
    <w:abstractNumId w:val="27"/>
  </w:num>
  <w:num w:numId="23" w16cid:durableId="440686835">
    <w:abstractNumId w:val="29"/>
  </w:num>
  <w:num w:numId="24" w16cid:durableId="1250653024">
    <w:abstractNumId w:val="44"/>
  </w:num>
  <w:num w:numId="25" w16cid:durableId="1824350019">
    <w:abstractNumId w:val="13"/>
  </w:num>
  <w:num w:numId="26" w16cid:durableId="1881817362">
    <w:abstractNumId w:val="19"/>
  </w:num>
  <w:num w:numId="27" w16cid:durableId="1396270814">
    <w:abstractNumId w:val="24"/>
  </w:num>
  <w:num w:numId="28" w16cid:durableId="1310984686">
    <w:abstractNumId w:val="25"/>
  </w:num>
  <w:num w:numId="29" w16cid:durableId="226650804">
    <w:abstractNumId w:val="42"/>
  </w:num>
  <w:num w:numId="30" w16cid:durableId="703216317">
    <w:abstractNumId w:val="38"/>
  </w:num>
  <w:num w:numId="31" w16cid:durableId="1937446701">
    <w:abstractNumId w:val="32"/>
  </w:num>
  <w:num w:numId="32" w16cid:durableId="1035077029">
    <w:abstractNumId w:val="12"/>
  </w:num>
  <w:num w:numId="33" w16cid:durableId="1727071629">
    <w:abstractNumId w:val="33"/>
  </w:num>
  <w:num w:numId="34" w16cid:durableId="1271860497">
    <w:abstractNumId w:val="15"/>
  </w:num>
  <w:num w:numId="35" w16cid:durableId="19551126">
    <w:abstractNumId w:val="34"/>
  </w:num>
  <w:num w:numId="36" w16cid:durableId="2129155255">
    <w:abstractNumId w:val="10"/>
  </w:num>
  <w:num w:numId="37" w16cid:durableId="508329099">
    <w:abstractNumId w:val="21"/>
  </w:num>
  <w:num w:numId="38" w16cid:durableId="1776822469">
    <w:abstractNumId w:val="39"/>
  </w:num>
  <w:num w:numId="39" w16cid:durableId="1316834406">
    <w:abstractNumId w:val="43"/>
  </w:num>
  <w:num w:numId="40" w16cid:durableId="1492865911">
    <w:abstractNumId w:val="14"/>
  </w:num>
  <w:num w:numId="41" w16cid:durableId="2070764039">
    <w:abstractNumId w:val="26"/>
  </w:num>
  <w:num w:numId="42" w16cid:durableId="1308361050">
    <w:abstractNumId w:val="22"/>
  </w:num>
  <w:num w:numId="43" w16cid:durableId="19283130">
    <w:abstractNumId w:val="45"/>
  </w:num>
  <w:num w:numId="44" w16cid:durableId="940648905">
    <w:abstractNumId w:val="11"/>
  </w:num>
  <w:num w:numId="45" w16cid:durableId="339819158">
    <w:abstractNumId w:val="46"/>
  </w:num>
  <w:num w:numId="46" w16cid:durableId="752582060">
    <w:abstractNumId w:val="31"/>
  </w:num>
  <w:num w:numId="47" w16cid:durableId="654140302">
    <w:abstractNumId w:val="30"/>
  </w:num>
  <w:num w:numId="48" w16cid:durableId="1616911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7E"/>
    <w:rsid w:val="00003DE8"/>
    <w:rsid w:val="00010A9C"/>
    <w:rsid w:val="00011F90"/>
    <w:rsid w:val="00014230"/>
    <w:rsid w:val="000161A6"/>
    <w:rsid w:val="00016A44"/>
    <w:rsid w:val="000238E6"/>
    <w:rsid w:val="00026D1F"/>
    <w:rsid w:val="0003301E"/>
    <w:rsid w:val="0003330D"/>
    <w:rsid w:val="00034441"/>
    <w:rsid w:val="0003467C"/>
    <w:rsid w:val="000354D9"/>
    <w:rsid w:val="00040EDF"/>
    <w:rsid w:val="00044451"/>
    <w:rsid w:val="00057419"/>
    <w:rsid w:val="00063CD5"/>
    <w:rsid w:val="00077C87"/>
    <w:rsid w:val="00080744"/>
    <w:rsid w:val="000826DE"/>
    <w:rsid w:val="000A1B23"/>
    <w:rsid w:val="000A21D8"/>
    <w:rsid w:val="000A27BF"/>
    <w:rsid w:val="000A7753"/>
    <w:rsid w:val="000B0362"/>
    <w:rsid w:val="000B1E63"/>
    <w:rsid w:val="000B3755"/>
    <w:rsid w:val="000B3AC5"/>
    <w:rsid w:val="000B67D4"/>
    <w:rsid w:val="000C0BC3"/>
    <w:rsid w:val="000C7E22"/>
    <w:rsid w:val="000D3EBE"/>
    <w:rsid w:val="000D431D"/>
    <w:rsid w:val="000E0EFC"/>
    <w:rsid w:val="000E2B3D"/>
    <w:rsid w:val="000E30A1"/>
    <w:rsid w:val="000F004E"/>
    <w:rsid w:val="000F5240"/>
    <w:rsid w:val="000F651B"/>
    <w:rsid w:val="001014B0"/>
    <w:rsid w:val="00103470"/>
    <w:rsid w:val="001038C8"/>
    <w:rsid w:val="00113332"/>
    <w:rsid w:val="0011363A"/>
    <w:rsid w:val="00114E50"/>
    <w:rsid w:val="0011605E"/>
    <w:rsid w:val="001225A5"/>
    <w:rsid w:val="001236BD"/>
    <w:rsid w:val="0012597D"/>
    <w:rsid w:val="0012645E"/>
    <w:rsid w:val="00126E15"/>
    <w:rsid w:val="00135CD3"/>
    <w:rsid w:val="00140A83"/>
    <w:rsid w:val="00142A9C"/>
    <w:rsid w:val="00146412"/>
    <w:rsid w:val="00150151"/>
    <w:rsid w:val="00151F06"/>
    <w:rsid w:val="001522C1"/>
    <w:rsid w:val="00161C0C"/>
    <w:rsid w:val="001623AD"/>
    <w:rsid w:val="00163EEF"/>
    <w:rsid w:val="0016721A"/>
    <w:rsid w:val="00167577"/>
    <w:rsid w:val="001725D5"/>
    <w:rsid w:val="00174D5E"/>
    <w:rsid w:val="0017733F"/>
    <w:rsid w:val="00180585"/>
    <w:rsid w:val="00181D7C"/>
    <w:rsid w:val="00183B72"/>
    <w:rsid w:val="00184FFE"/>
    <w:rsid w:val="00190A4E"/>
    <w:rsid w:val="001967E4"/>
    <w:rsid w:val="001B01A7"/>
    <w:rsid w:val="001B3CF6"/>
    <w:rsid w:val="001B49EC"/>
    <w:rsid w:val="001B4A1A"/>
    <w:rsid w:val="001B70C5"/>
    <w:rsid w:val="001C2F27"/>
    <w:rsid w:val="001C70D8"/>
    <w:rsid w:val="001D089A"/>
    <w:rsid w:val="001D2CB5"/>
    <w:rsid w:val="001D6D79"/>
    <w:rsid w:val="001E588E"/>
    <w:rsid w:val="001F737A"/>
    <w:rsid w:val="00200414"/>
    <w:rsid w:val="0020524F"/>
    <w:rsid w:val="00215350"/>
    <w:rsid w:val="00216952"/>
    <w:rsid w:val="00217F12"/>
    <w:rsid w:val="00220EDF"/>
    <w:rsid w:val="002220E1"/>
    <w:rsid w:val="002338C3"/>
    <w:rsid w:val="00234714"/>
    <w:rsid w:val="002362D7"/>
    <w:rsid w:val="002455D0"/>
    <w:rsid w:val="00251F7E"/>
    <w:rsid w:val="00252A3E"/>
    <w:rsid w:val="00253B64"/>
    <w:rsid w:val="00256182"/>
    <w:rsid w:val="00257656"/>
    <w:rsid w:val="0025778F"/>
    <w:rsid w:val="002604DA"/>
    <w:rsid w:val="00260C2F"/>
    <w:rsid w:val="00261507"/>
    <w:rsid w:val="00261951"/>
    <w:rsid w:val="00276AF9"/>
    <w:rsid w:val="002824DD"/>
    <w:rsid w:val="00284D12"/>
    <w:rsid w:val="002929D7"/>
    <w:rsid w:val="0029412A"/>
    <w:rsid w:val="002961FD"/>
    <w:rsid w:val="002972BB"/>
    <w:rsid w:val="002A1F25"/>
    <w:rsid w:val="002A4524"/>
    <w:rsid w:val="002A471E"/>
    <w:rsid w:val="002A7BC9"/>
    <w:rsid w:val="002B145D"/>
    <w:rsid w:val="002B1766"/>
    <w:rsid w:val="002B386D"/>
    <w:rsid w:val="002B5551"/>
    <w:rsid w:val="002B5E11"/>
    <w:rsid w:val="002B62A8"/>
    <w:rsid w:val="002B6DB0"/>
    <w:rsid w:val="002C08D9"/>
    <w:rsid w:val="002C20A0"/>
    <w:rsid w:val="002C36AA"/>
    <w:rsid w:val="002C683B"/>
    <w:rsid w:val="002D462D"/>
    <w:rsid w:val="002E2A6F"/>
    <w:rsid w:val="002E328D"/>
    <w:rsid w:val="002F1BF1"/>
    <w:rsid w:val="002F1D16"/>
    <w:rsid w:val="002F5956"/>
    <w:rsid w:val="002F5B8A"/>
    <w:rsid w:val="0030208F"/>
    <w:rsid w:val="00302ED2"/>
    <w:rsid w:val="0030347E"/>
    <w:rsid w:val="00304021"/>
    <w:rsid w:val="00304572"/>
    <w:rsid w:val="0030542D"/>
    <w:rsid w:val="003071F2"/>
    <w:rsid w:val="00317829"/>
    <w:rsid w:val="0032337A"/>
    <w:rsid w:val="0032493C"/>
    <w:rsid w:val="00330204"/>
    <w:rsid w:val="00332742"/>
    <w:rsid w:val="00345B36"/>
    <w:rsid w:val="00355DA6"/>
    <w:rsid w:val="00356388"/>
    <w:rsid w:val="00356D2A"/>
    <w:rsid w:val="00361AEF"/>
    <w:rsid w:val="00363B29"/>
    <w:rsid w:val="00363F20"/>
    <w:rsid w:val="00364705"/>
    <w:rsid w:val="00366B96"/>
    <w:rsid w:val="00372454"/>
    <w:rsid w:val="00372F3D"/>
    <w:rsid w:val="00373B58"/>
    <w:rsid w:val="0037618D"/>
    <w:rsid w:val="0037760E"/>
    <w:rsid w:val="00380747"/>
    <w:rsid w:val="00386553"/>
    <w:rsid w:val="00394030"/>
    <w:rsid w:val="00394867"/>
    <w:rsid w:val="003A40A8"/>
    <w:rsid w:val="003A61AC"/>
    <w:rsid w:val="003A7A0C"/>
    <w:rsid w:val="003B2A2F"/>
    <w:rsid w:val="003B7344"/>
    <w:rsid w:val="003C2E0D"/>
    <w:rsid w:val="003C387F"/>
    <w:rsid w:val="003C48E0"/>
    <w:rsid w:val="003C615B"/>
    <w:rsid w:val="003C7C01"/>
    <w:rsid w:val="003D0C26"/>
    <w:rsid w:val="003D3598"/>
    <w:rsid w:val="003D4776"/>
    <w:rsid w:val="003D71DE"/>
    <w:rsid w:val="003E5463"/>
    <w:rsid w:val="003F05F7"/>
    <w:rsid w:val="00402414"/>
    <w:rsid w:val="004041AC"/>
    <w:rsid w:val="00410415"/>
    <w:rsid w:val="00411DD4"/>
    <w:rsid w:val="0041360B"/>
    <w:rsid w:val="0041467A"/>
    <w:rsid w:val="004234EB"/>
    <w:rsid w:val="00433D79"/>
    <w:rsid w:val="0043431C"/>
    <w:rsid w:val="00434D6C"/>
    <w:rsid w:val="004365D8"/>
    <w:rsid w:val="004429DA"/>
    <w:rsid w:val="00442E7E"/>
    <w:rsid w:val="00444886"/>
    <w:rsid w:val="004533A7"/>
    <w:rsid w:val="00453746"/>
    <w:rsid w:val="00453B26"/>
    <w:rsid w:val="00454AB6"/>
    <w:rsid w:val="00461ACA"/>
    <w:rsid w:val="004728DB"/>
    <w:rsid w:val="00475BCA"/>
    <w:rsid w:val="0048422F"/>
    <w:rsid w:val="004856D9"/>
    <w:rsid w:val="004864C5"/>
    <w:rsid w:val="00490EC7"/>
    <w:rsid w:val="004968BC"/>
    <w:rsid w:val="004A1897"/>
    <w:rsid w:val="004B25AD"/>
    <w:rsid w:val="004B3748"/>
    <w:rsid w:val="004B6151"/>
    <w:rsid w:val="004C06E5"/>
    <w:rsid w:val="004C23B0"/>
    <w:rsid w:val="004C3679"/>
    <w:rsid w:val="004C63E7"/>
    <w:rsid w:val="004D18EF"/>
    <w:rsid w:val="004D338A"/>
    <w:rsid w:val="004D3616"/>
    <w:rsid w:val="004D6470"/>
    <w:rsid w:val="004F11DF"/>
    <w:rsid w:val="004F2CF4"/>
    <w:rsid w:val="004F4868"/>
    <w:rsid w:val="004F6A69"/>
    <w:rsid w:val="00501A25"/>
    <w:rsid w:val="00503E59"/>
    <w:rsid w:val="005050C9"/>
    <w:rsid w:val="00516823"/>
    <w:rsid w:val="0052306C"/>
    <w:rsid w:val="00525791"/>
    <w:rsid w:val="00535861"/>
    <w:rsid w:val="005361D7"/>
    <w:rsid w:val="00544FB0"/>
    <w:rsid w:val="00551CA1"/>
    <w:rsid w:val="00562B13"/>
    <w:rsid w:val="005649A3"/>
    <w:rsid w:val="00571A48"/>
    <w:rsid w:val="00572D41"/>
    <w:rsid w:val="00575D6C"/>
    <w:rsid w:val="0058220A"/>
    <w:rsid w:val="005827D1"/>
    <w:rsid w:val="005864C6"/>
    <w:rsid w:val="00592B17"/>
    <w:rsid w:val="0059303E"/>
    <w:rsid w:val="005943E0"/>
    <w:rsid w:val="00595007"/>
    <w:rsid w:val="005A1BCD"/>
    <w:rsid w:val="005A3587"/>
    <w:rsid w:val="005B00EC"/>
    <w:rsid w:val="005B02B8"/>
    <w:rsid w:val="005C17B0"/>
    <w:rsid w:val="005C1E3D"/>
    <w:rsid w:val="005C76BC"/>
    <w:rsid w:val="005E0A24"/>
    <w:rsid w:val="005E6B24"/>
    <w:rsid w:val="005F23CF"/>
    <w:rsid w:val="00601F15"/>
    <w:rsid w:val="00607C71"/>
    <w:rsid w:val="00610A38"/>
    <w:rsid w:val="00613E61"/>
    <w:rsid w:val="00617010"/>
    <w:rsid w:val="00630C94"/>
    <w:rsid w:val="0063122B"/>
    <w:rsid w:val="006321E5"/>
    <w:rsid w:val="00632C7B"/>
    <w:rsid w:val="00636300"/>
    <w:rsid w:val="00646701"/>
    <w:rsid w:val="00647257"/>
    <w:rsid w:val="00651574"/>
    <w:rsid w:val="00651E52"/>
    <w:rsid w:val="006578D8"/>
    <w:rsid w:val="00660B05"/>
    <w:rsid w:val="0066306F"/>
    <w:rsid w:val="00666679"/>
    <w:rsid w:val="00667ECB"/>
    <w:rsid w:val="006725EC"/>
    <w:rsid w:val="00684CB7"/>
    <w:rsid w:val="0068632B"/>
    <w:rsid w:val="00691936"/>
    <w:rsid w:val="00693463"/>
    <w:rsid w:val="006A07DD"/>
    <w:rsid w:val="006A0C92"/>
    <w:rsid w:val="006A0EC8"/>
    <w:rsid w:val="006A4AEE"/>
    <w:rsid w:val="006A5D65"/>
    <w:rsid w:val="006A617A"/>
    <w:rsid w:val="006A7CB7"/>
    <w:rsid w:val="006B0C06"/>
    <w:rsid w:val="006B5C6F"/>
    <w:rsid w:val="006C048E"/>
    <w:rsid w:val="006C0A4B"/>
    <w:rsid w:val="006C1AE8"/>
    <w:rsid w:val="006C4211"/>
    <w:rsid w:val="006C6DC8"/>
    <w:rsid w:val="006D19B7"/>
    <w:rsid w:val="006D40D2"/>
    <w:rsid w:val="006D4FC8"/>
    <w:rsid w:val="006D515C"/>
    <w:rsid w:val="006E0A93"/>
    <w:rsid w:val="006E1111"/>
    <w:rsid w:val="006E349A"/>
    <w:rsid w:val="006E4F98"/>
    <w:rsid w:val="006F007A"/>
    <w:rsid w:val="007004A8"/>
    <w:rsid w:val="0070088E"/>
    <w:rsid w:val="00701058"/>
    <w:rsid w:val="0070321B"/>
    <w:rsid w:val="00703784"/>
    <w:rsid w:val="007107B3"/>
    <w:rsid w:val="007138B6"/>
    <w:rsid w:val="007156C9"/>
    <w:rsid w:val="0072007F"/>
    <w:rsid w:val="007206B2"/>
    <w:rsid w:val="00720F2D"/>
    <w:rsid w:val="0072152F"/>
    <w:rsid w:val="007257BD"/>
    <w:rsid w:val="00727EFC"/>
    <w:rsid w:val="00730139"/>
    <w:rsid w:val="0073091D"/>
    <w:rsid w:val="007360C1"/>
    <w:rsid w:val="00736FC1"/>
    <w:rsid w:val="00737212"/>
    <w:rsid w:val="00745369"/>
    <w:rsid w:val="00757564"/>
    <w:rsid w:val="00761334"/>
    <w:rsid w:val="00764429"/>
    <w:rsid w:val="0076480B"/>
    <w:rsid w:val="00764AFE"/>
    <w:rsid w:val="00764D79"/>
    <w:rsid w:val="00766462"/>
    <w:rsid w:val="00770385"/>
    <w:rsid w:val="007718B5"/>
    <w:rsid w:val="00773C6E"/>
    <w:rsid w:val="00780782"/>
    <w:rsid w:val="00790A9F"/>
    <w:rsid w:val="00791AFC"/>
    <w:rsid w:val="00792CEC"/>
    <w:rsid w:val="00795A59"/>
    <w:rsid w:val="00795EC4"/>
    <w:rsid w:val="0079644E"/>
    <w:rsid w:val="007A07FC"/>
    <w:rsid w:val="007A41BA"/>
    <w:rsid w:val="007A489F"/>
    <w:rsid w:val="007B2345"/>
    <w:rsid w:val="007B53EE"/>
    <w:rsid w:val="007B54E9"/>
    <w:rsid w:val="007C2EE8"/>
    <w:rsid w:val="007D0407"/>
    <w:rsid w:val="007D2916"/>
    <w:rsid w:val="007D299A"/>
    <w:rsid w:val="007D2DC1"/>
    <w:rsid w:val="007D2ECC"/>
    <w:rsid w:val="007E09AF"/>
    <w:rsid w:val="007E3644"/>
    <w:rsid w:val="007E7F06"/>
    <w:rsid w:val="007F0685"/>
    <w:rsid w:val="007F17EA"/>
    <w:rsid w:val="007F42D0"/>
    <w:rsid w:val="007F6D8F"/>
    <w:rsid w:val="007F70DC"/>
    <w:rsid w:val="007F7392"/>
    <w:rsid w:val="0080482B"/>
    <w:rsid w:val="00820082"/>
    <w:rsid w:val="00823562"/>
    <w:rsid w:val="008236FA"/>
    <w:rsid w:val="00825CD6"/>
    <w:rsid w:val="00832F0B"/>
    <w:rsid w:val="00834D3A"/>
    <w:rsid w:val="0083598A"/>
    <w:rsid w:val="00836A30"/>
    <w:rsid w:val="00845D01"/>
    <w:rsid w:val="0084701E"/>
    <w:rsid w:val="0085389F"/>
    <w:rsid w:val="0085468A"/>
    <w:rsid w:val="00861576"/>
    <w:rsid w:val="00863801"/>
    <w:rsid w:val="008643EB"/>
    <w:rsid w:val="00867296"/>
    <w:rsid w:val="00870EA9"/>
    <w:rsid w:val="008726EC"/>
    <w:rsid w:val="00876E8B"/>
    <w:rsid w:val="00882A21"/>
    <w:rsid w:val="0088394B"/>
    <w:rsid w:val="00896C06"/>
    <w:rsid w:val="0089740B"/>
    <w:rsid w:val="008A0AF2"/>
    <w:rsid w:val="008A1149"/>
    <w:rsid w:val="008B1CF0"/>
    <w:rsid w:val="008B32B4"/>
    <w:rsid w:val="008B348C"/>
    <w:rsid w:val="008B794F"/>
    <w:rsid w:val="008C61FC"/>
    <w:rsid w:val="008D4D83"/>
    <w:rsid w:val="008D644F"/>
    <w:rsid w:val="008D6E47"/>
    <w:rsid w:val="008E1F74"/>
    <w:rsid w:val="008E4853"/>
    <w:rsid w:val="008F267A"/>
    <w:rsid w:val="00926B33"/>
    <w:rsid w:val="00927692"/>
    <w:rsid w:val="00931D81"/>
    <w:rsid w:val="0094384A"/>
    <w:rsid w:val="00945247"/>
    <w:rsid w:val="009550F6"/>
    <w:rsid w:val="00956860"/>
    <w:rsid w:val="00967F53"/>
    <w:rsid w:val="00972C89"/>
    <w:rsid w:val="009761B0"/>
    <w:rsid w:val="00977126"/>
    <w:rsid w:val="00982A1D"/>
    <w:rsid w:val="00982FC7"/>
    <w:rsid w:val="00984F5A"/>
    <w:rsid w:val="00986B4C"/>
    <w:rsid w:val="009942CD"/>
    <w:rsid w:val="009975C9"/>
    <w:rsid w:val="00997E0C"/>
    <w:rsid w:val="009A0172"/>
    <w:rsid w:val="009A3BC4"/>
    <w:rsid w:val="009B1DD9"/>
    <w:rsid w:val="009B1F29"/>
    <w:rsid w:val="009B3057"/>
    <w:rsid w:val="009B433E"/>
    <w:rsid w:val="009B4712"/>
    <w:rsid w:val="009B5C32"/>
    <w:rsid w:val="009B7BAE"/>
    <w:rsid w:val="009C026A"/>
    <w:rsid w:val="009C07F4"/>
    <w:rsid w:val="009C22FB"/>
    <w:rsid w:val="009C465F"/>
    <w:rsid w:val="009C6273"/>
    <w:rsid w:val="009C76B6"/>
    <w:rsid w:val="009D6E24"/>
    <w:rsid w:val="009E2BD3"/>
    <w:rsid w:val="009E5C73"/>
    <w:rsid w:val="009E7E04"/>
    <w:rsid w:val="009E7FDD"/>
    <w:rsid w:val="009F21FC"/>
    <w:rsid w:val="009F6F1D"/>
    <w:rsid w:val="00A02608"/>
    <w:rsid w:val="00A04B9D"/>
    <w:rsid w:val="00A04FCF"/>
    <w:rsid w:val="00A07676"/>
    <w:rsid w:val="00A07710"/>
    <w:rsid w:val="00A17DB8"/>
    <w:rsid w:val="00A23957"/>
    <w:rsid w:val="00A2494C"/>
    <w:rsid w:val="00A24C7F"/>
    <w:rsid w:val="00A33D73"/>
    <w:rsid w:val="00A35932"/>
    <w:rsid w:val="00A37644"/>
    <w:rsid w:val="00A41F9D"/>
    <w:rsid w:val="00A5702A"/>
    <w:rsid w:val="00A61581"/>
    <w:rsid w:val="00A64868"/>
    <w:rsid w:val="00A71954"/>
    <w:rsid w:val="00A72302"/>
    <w:rsid w:val="00A723F3"/>
    <w:rsid w:val="00A76DB6"/>
    <w:rsid w:val="00A809D8"/>
    <w:rsid w:val="00A80A2B"/>
    <w:rsid w:val="00A81097"/>
    <w:rsid w:val="00A82920"/>
    <w:rsid w:val="00A84196"/>
    <w:rsid w:val="00A856D8"/>
    <w:rsid w:val="00A86D0E"/>
    <w:rsid w:val="00AA0742"/>
    <w:rsid w:val="00AA1A72"/>
    <w:rsid w:val="00AA3772"/>
    <w:rsid w:val="00AB2741"/>
    <w:rsid w:val="00AB414D"/>
    <w:rsid w:val="00AC2B28"/>
    <w:rsid w:val="00AF1874"/>
    <w:rsid w:val="00AF2A83"/>
    <w:rsid w:val="00AF3C76"/>
    <w:rsid w:val="00AF516B"/>
    <w:rsid w:val="00AF580E"/>
    <w:rsid w:val="00B021BA"/>
    <w:rsid w:val="00B0528D"/>
    <w:rsid w:val="00B12DBF"/>
    <w:rsid w:val="00B14E06"/>
    <w:rsid w:val="00B15C2E"/>
    <w:rsid w:val="00B17CB0"/>
    <w:rsid w:val="00B17D2A"/>
    <w:rsid w:val="00B17E4D"/>
    <w:rsid w:val="00B23F38"/>
    <w:rsid w:val="00B27A3E"/>
    <w:rsid w:val="00B316A4"/>
    <w:rsid w:val="00B31C20"/>
    <w:rsid w:val="00B43FBF"/>
    <w:rsid w:val="00B460DF"/>
    <w:rsid w:val="00B50D96"/>
    <w:rsid w:val="00B51CE7"/>
    <w:rsid w:val="00B5780F"/>
    <w:rsid w:val="00B57C28"/>
    <w:rsid w:val="00B6293F"/>
    <w:rsid w:val="00B6424E"/>
    <w:rsid w:val="00B6494E"/>
    <w:rsid w:val="00B67597"/>
    <w:rsid w:val="00B70F27"/>
    <w:rsid w:val="00B72723"/>
    <w:rsid w:val="00B72A08"/>
    <w:rsid w:val="00B73487"/>
    <w:rsid w:val="00B8076F"/>
    <w:rsid w:val="00B872D4"/>
    <w:rsid w:val="00B87455"/>
    <w:rsid w:val="00B87A04"/>
    <w:rsid w:val="00B923B7"/>
    <w:rsid w:val="00BB0BEA"/>
    <w:rsid w:val="00BB20B2"/>
    <w:rsid w:val="00BB2463"/>
    <w:rsid w:val="00BB737E"/>
    <w:rsid w:val="00BC43E9"/>
    <w:rsid w:val="00BD3CB8"/>
    <w:rsid w:val="00BD670D"/>
    <w:rsid w:val="00BE295C"/>
    <w:rsid w:val="00BE3300"/>
    <w:rsid w:val="00BF1067"/>
    <w:rsid w:val="00BF25D1"/>
    <w:rsid w:val="00C00657"/>
    <w:rsid w:val="00C168F6"/>
    <w:rsid w:val="00C22CF8"/>
    <w:rsid w:val="00C2307C"/>
    <w:rsid w:val="00C265FF"/>
    <w:rsid w:val="00C266F5"/>
    <w:rsid w:val="00C27F3D"/>
    <w:rsid w:val="00C30ABF"/>
    <w:rsid w:val="00C315AF"/>
    <w:rsid w:val="00C37080"/>
    <w:rsid w:val="00C4010F"/>
    <w:rsid w:val="00C413A0"/>
    <w:rsid w:val="00C43380"/>
    <w:rsid w:val="00C436CC"/>
    <w:rsid w:val="00C447C5"/>
    <w:rsid w:val="00C453F9"/>
    <w:rsid w:val="00C465E7"/>
    <w:rsid w:val="00C52545"/>
    <w:rsid w:val="00C52813"/>
    <w:rsid w:val="00C52F74"/>
    <w:rsid w:val="00C5719C"/>
    <w:rsid w:val="00C60811"/>
    <w:rsid w:val="00C64096"/>
    <w:rsid w:val="00C71662"/>
    <w:rsid w:val="00C719C6"/>
    <w:rsid w:val="00C73777"/>
    <w:rsid w:val="00C73DD4"/>
    <w:rsid w:val="00C7459F"/>
    <w:rsid w:val="00C745B1"/>
    <w:rsid w:val="00C83FC3"/>
    <w:rsid w:val="00C84D43"/>
    <w:rsid w:val="00C85A08"/>
    <w:rsid w:val="00C90430"/>
    <w:rsid w:val="00C96D76"/>
    <w:rsid w:val="00CA6D80"/>
    <w:rsid w:val="00CB0572"/>
    <w:rsid w:val="00CB0933"/>
    <w:rsid w:val="00CB7844"/>
    <w:rsid w:val="00CB79DE"/>
    <w:rsid w:val="00CC1C8F"/>
    <w:rsid w:val="00CC23DF"/>
    <w:rsid w:val="00CD7404"/>
    <w:rsid w:val="00CE1EED"/>
    <w:rsid w:val="00CE4CDF"/>
    <w:rsid w:val="00CF1076"/>
    <w:rsid w:val="00CF473F"/>
    <w:rsid w:val="00CF5E7A"/>
    <w:rsid w:val="00D07CD2"/>
    <w:rsid w:val="00D1351F"/>
    <w:rsid w:val="00D16AA5"/>
    <w:rsid w:val="00D230FC"/>
    <w:rsid w:val="00D23686"/>
    <w:rsid w:val="00D244D6"/>
    <w:rsid w:val="00D332FD"/>
    <w:rsid w:val="00D36473"/>
    <w:rsid w:val="00D452DA"/>
    <w:rsid w:val="00D4663E"/>
    <w:rsid w:val="00D520D1"/>
    <w:rsid w:val="00D5545E"/>
    <w:rsid w:val="00D55596"/>
    <w:rsid w:val="00D63570"/>
    <w:rsid w:val="00D637DB"/>
    <w:rsid w:val="00D6738E"/>
    <w:rsid w:val="00D701CB"/>
    <w:rsid w:val="00D7389B"/>
    <w:rsid w:val="00D749EB"/>
    <w:rsid w:val="00D7760D"/>
    <w:rsid w:val="00D80209"/>
    <w:rsid w:val="00D81CC3"/>
    <w:rsid w:val="00D82D72"/>
    <w:rsid w:val="00D848DA"/>
    <w:rsid w:val="00D92385"/>
    <w:rsid w:val="00D9459F"/>
    <w:rsid w:val="00DA3B65"/>
    <w:rsid w:val="00DA458F"/>
    <w:rsid w:val="00DA5BDF"/>
    <w:rsid w:val="00DA776D"/>
    <w:rsid w:val="00DB2AD1"/>
    <w:rsid w:val="00DB4993"/>
    <w:rsid w:val="00DB6CAB"/>
    <w:rsid w:val="00DC093C"/>
    <w:rsid w:val="00DC2828"/>
    <w:rsid w:val="00DC2FA0"/>
    <w:rsid w:val="00DC6FC8"/>
    <w:rsid w:val="00DC6FF8"/>
    <w:rsid w:val="00DC7359"/>
    <w:rsid w:val="00DC7C97"/>
    <w:rsid w:val="00DD1566"/>
    <w:rsid w:val="00DD19DE"/>
    <w:rsid w:val="00DD22BB"/>
    <w:rsid w:val="00DD2BCC"/>
    <w:rsid w:val="00DD58A4"/>
    <w:rsid w:val="00DE2EAF"/>
    <w:rsid w:val="00DE51BA"/>
    <w:rsid w:val="00DE76EC"/>
    <w:rsid w:val="00DF13C1"/>
    <w:rsid w:val="00DF4AEA"/>
    <w:rsid w:val="00DF6341"/>
    <w:rsid w:val="00E04B21"/>
    <w:rsid w:val="00E07313"/>
    <w:rsid w:val="00E11C0A"/>
    <w:rsid w:val="00E12DEC"/>
    <w:rsid w:val="00E12E84"/>
    <w:rsid w:val="00E1535F"/>
    <w:rsid w:val="00E213B5"/>
    <w:rsid w:val="00E21BCE"/>
    <w:rsid w:val="00E26014"/>
    <w:rsid w:val="00E44DAC"/>
    <w:rsid w:val="00E46026"/>
    <w:rsid w:val="00E506DC"/>
    <w:rsid w:val="00E50836"/>
    <w:rsid w:val="00E57E61"/>
    <w:rsid w:val="00E66100"/>
    <w:rsid w:val="00E665C9"/>
    <w:rsid w:val="00E67573"/>
    <w:rsid w:val="00E732C8"/>
    <w:rsid w:val="00E73D84"/>
    <w:rsid w:val="00E80961"/>
    <w:rsid w:val="00E85BB4"/>
    <w:rsid w:val="00E955F2"/>
    <w:rsid w:val="00E95D16"/>
    <w:rsid w:val="00E96815"/>
    <w:rsid w:val="00EA35D7"/>
    <w:rsid w:val="00EA46E4"/>
    <w:rsid w:val="00EA552A"/>
    <w:rsid w:val="00EA7204"/>
    <w:rsid w:val="00EA756E"/>
    <w:rsid w:val="00EB2510"/>
    <w:rsid w:val="00EB2547"/>
    <w:rsid w:val="00EB4FA2"/>
    <w:rsid w:val="00EB606A"/>
    <w:rsid w:val="00EC4AB4"/>
    <w:rsid w:val="00EC5D9F"/>
    <w:rsid w:val="00EC6F3F"/>
    <w:rsid w:val="00ED5210"/>
    <w:rsid w:val="00EE121E"/>
    <w:rsid w:val="00EE1FC3"/>
    <w:rsid w:val="00EE2582"/>
    <w:rsid w:val="00EE71CD"/>
    <w:rsid w:val="00EF3F48"/>
    <w:rsid w:val="00F033C1"/>
    <w:rsid w:val="00F07BA8"/>
    <w:rsid w:val="00F07E65"/>
    <w:rsid w:val="00F111FD"/>
    <w:rsid w:val="00F11A5C"/>
    <w:rsid w:val="00F143F0"/>
    <w:rsid w:val="00F15E34"/>
    <w:rsid w:val="00F172B1"/>
    <w:rsid w:val="00F23AAA"/>
    <w:rsid w:val="00F24085"/>
    <w:rsid w:val="00F27097"/>
    <w:rsid w:val="00F319CC"/>
    <w:rsid w:val="00F35C2C"/>
    <w:rsid w:val="00F369AC"/>
    <w:rsid w:val="00F404DE"/>
    <w:rsid w:val="00F42583"/>
    <w:rsid w:val="00F45944"/>
    <w:rsid w:val="00F50782"/>
    <w:rsid w:val="00F613BE"/>
    <w:rsid w:val="00F61847"/>
    <w:rsid w:val="00F65318"/>
    <w:rsid w:val="00F71476"/>
    <w:rsid w:val="00F71BFC"/>
    <w:rsid w:val="00F80D6A"/>
    <w:rsid w:val="00F81255"/>
    <w:rsid w:val="00F837DA"/>
    <w:rsid w:val="00F92B23"/>
    <w:rsid w:val="00F94BB4"/>
    <w:rsid w:val="00F94DD3"/>
    <w:rsid w:val="00F979F3"/>
    <w:rsid w:val="00FC0A2F"/>
    <w:rsid w:val="00FC22E5"/>
    <w:rsid w:val="00FC256D"/>
    <w:rsid w:val="00FC4D80"/>
    <w:rsid w:val="00FC5569"/>
    <w:rsid w:val="00FC7541"/>
    <w:rsid w:val="00FC76B2"/>
    <w:rsid w:val="00FC7D99"/>
    <w:rsid w:val="00FD455F"/>
    <w:rsid w:val="00FD706E"/>
    <w:rsid w:val="00FE0EFD"/>
    <w:rsid w:val="00FE2425"/>
    <w:rsid w:val="00FF2836"/>
    <w:rsid w:val="00FF2BA7"/>
    <w:rsid w:val="00FF4418"/>
    <w:rsid w:val="00FF58A6"/>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C0CB"/>
  <w15:docId w15:val="{A2D03D9B-A16A-4EC9-979E-EA836316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AA"/>
    <w:pPr>
      <w:spacing w:after="200" w:line="276" w:lineRule="auto"/>
      <w:jc w:val="both"/>
    </w:pPr>
    <w:rPr>
      <w:sz w:val="22"/>
      <w:szCs w:val="22"/>
      <w:lang w:val="sq-AL"/>
    </w:rPr>
  </w:style>
  <w:style w:type="paragraph" w:styleId="Heading1">
    <w:name w:val="heading 1"/>
    <w:basedOn w:val="Normal"/>
    <w:next w:val="Normal"/>
    <w:link w:val="Heading1Char"/>
    <w:uiPriority w:val="9"/>
    <w:qFormat/>
    <w:rsid w:val="00B727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7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47E"/>
    <w:pPr>
      <w:ind w:left="720"/>
      <w:contextualSpacing/>
    </w:pPr>
  </w:style>
  <w:style w:type="table" w:styleId="TableGrid">
    <w:name w:val="Table Grid"/>
    <w:basedOn w:val="TableNormal"/>
    <w:uiPriority w:val="59"/>
    <w:rsid w:val="00736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1F2"/>
    <w:pPr>
      <w:tabs>
        <w:tab w:val="center" w:pos="4513"/>
        <w:tab w:val="right" w:pos="9026"/>
      </w:tabs>
    </w:pPr>
  </w:style>
  <w:style w:type="character" w:customStyle="1" w:styleId="HeaderChar">
    <w:name w:val="Header Char"/>
    <w:basedOn w:val="DefaultParagraphFont"/>
    <w:link w:val="Header"/>
    <w:uiPriority w:val="99"/>
    <w:rsid w:val="003071F2"/>
    <w:rPr>
      <w:sz w:val="22"/>
      <w:szCs w:val="22"/>
      <w:lang w:eastAsia="en-US"/>
    </w:rPr>
  </w:style>
  <w:style w:type="paragraph" w:styleId="Footer">
    <w:name w:val="footer"/>
    <w:basedOn w:val="Normal"/>
    <w:link w:val="FooterChar"/>
    <w:uiPriority w:val="99"/>
    <w:unhideWhenUsed/>
    <w:rsid w:val="003071F2"/>
    <w:pPr>
      <w:tabs>
        <w:tab w:val="center" w:pos="4513"/>
        <w:tab w:val="right" w:pos="9026"/>
      </w:tabs>
    </w:pPr>
  </w:style>
  <w:style w:type="character" w:customStyle="1" w:styleId="FooterChar">
    <w:name w:val="Footer Char"/>
    <w:basedOn w:val="DefaultParagraphFont"/>
    <w:link w:val="Footer"/>
    <w:uiPriority w:val="99"/>
    <w:rsid w:val="003071F2"/>
    <w:rPr>
      <w:sz w:val="22"/>
      <w:szCs w:val="22"/>
      <w:lang w:eastAsia="en-US"/>
    </w:rPr>
  </w:style>
  <w:style w:type="paragraph" w:styleId="BalloonText">
    <w:name w:val="Balloon Text"/>
    <w:basedOn w:val="Normal"/>
    <w:link w:val="BalloonTextChar"/>
    <w:uiPriority w:val="99"/>
    <w:semiHidden/>
    <w:unhideWhenUsed/>
    <w:rsid w:val="00BD3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CB8"/>
    <w:rPr>
      <w:rFonts w:ascii="Tahoma" w:hAnsi="Tahoma" w:cs="Tahoma"/>
      <w:sz w:val="16"/>
      <w:szCs w:val="16"/>
      <w:lang w:val="en-GB"/>
    </w:rPr>
  </w:style>
  <w:style w:type="character" w:customStyle="1" w:styleId="hps">
    <w:name w:val="hps"/>
    <w:basedOn w:val="DefaultParagraphFont"/>
    <w:rsid w:val="0088394B"/>
  </w:style>
  <w:style w:type="character" w:customStyle="1" w:styleId="hpsatn">
    <w:name w:val="hps atn"/>
    <w:basedOn w:val="DefaultParagraphFont"/>
    <w:rsid w:val="00260C2F"/>
  </w:style>
  <w:style w:type="character" w:customStyle="1" w:styleId="longtext">
    <w:name w:val="long_text"/>
    <w:basedOn w:val="DefaultParagraphFont"/>
    <w:rsid w:val="00EC4AB4"/>
  </w:style>
  <w:style w:type="paragraph" w:styleId="DocumentMap">
    <w:name w:val="Document Map"/>
    <w:basedOn w:val="Normal"/>
    <w:semiHidden/>
    <w:rsid w:val="00F11A5C"/>
    <w:pPr>
      <w:shd w:val="clear" w:color="auto" w:fill="000080"/>
    </w:pPr>
    <w:rPr>
      <w:rFonts w:ascii="Tahoma" w:hAnsi="Tahoma" w:cs="Tahoma"/>
      <w:sz w:val="20"/>
      <w:szCs w:val="20"/>
    </w:rPr>
  </w:style>
  <w:style w:type="paragraph" w:customStyle="1" w:styleId="CharCharCharCharCharChar">
    <w:name w:val="Char Char Char Char Char Char"/>
    <w:basedOn w:val="Normal"/>
    <w:rsid w:val="00F11A5C"/>
    <w:pPr>
      <w:spacing w:after="160" w:line="240" w:lineRule="exact"/>
    </w:pPr>
    <w:rPr>
      <w:rFonts w:ascii="Tahoma" w:eastAsia="Times New Roman" w:hAnsi="Tahoma"/>
      <w:sz w:val="20"/>
      <w:szCs w:val="20"/>
    </w:rPr>
  </w:style>
  <w:style w:type="character" w:styleId="Hyperlink">
    <w:name w:val="Hyperlink"/>
    <w:basedOn w:val="DefaultParagraphFont"/>
    <w:uiPriority w:val="99"/>
    <w:unhideWhenUsed/>
    <w:rsid w:val="003B7344"/>
    <w:rPr>
      <w:color w:val="0000FF" w:themeColor="hyperlink"/>
      <w:u w:val="single"/>
    </w:rPr>
  </w:style>
  <w:style w:type="character" w:styleId="CommentReference">
    <w:name w:val="annotation reference"/>
    <w:basedOn w:val="DefaultParagraphFont"/>
    <w:uiPriority w:val="99"/>
    <w:semiHidden/>
    <w:unhideWhenUsed/>
    <w:rsid w:val="00984F5A"/>
    <w:rPr>
      <w:sz w:val="16"/>
      <w:szCs w:val="16"/>
    </w:rPr>
  </w:style>
  <w:style w:type="paragraph" w:styleId="CommentText">
    <w:name w:val="annotation text"/>
    <w:basedOn w:val="Normal"/>
    <w:link w:val="CommentTextChar"/>
    <w:uiPriority w:val="99"/>
    <w:semiHidden/>
    <w:unhideWhenUsed/>
    <w:rsid w:val="00984F5A"/>
    <w:pPr>
      <w:spacing w:line="240" w:lineRule="auto"/>
    </w:pPr>
    <w:rPr>
      <w:sz w:val="20"/>
      <w:szCs w:val="20"/>
    </w:rPr>
  </w:style>
  <w:style w:type="character" w:customStyle="1" w:styleId="CommentTextChar">
    <w:name w:val="Comment Text Char"/>
    <w:basedOn w:val="DefaultParagraphFont"/>
    <w:link w:val="CommentText"/>
    <w:uiPriority w:val="99"/>
    <w:semiHidden/>
    <w:rsid w:val="00984F5A"/>
    <w:rPr>
      <w:lang w:val="sq-AL"/>
    </w:rPr>
  </w:style>
  <w:style w:type="paragraph" w:styleId="CommentSubject">
    <w:name w:val="annotation subject"/>
    <w:basedOn w:val="CommentText"/>
    <w:next w:val="CommentText"/>
    <w:link w:val="CommentSubjectChar"/>
    <w:uiPriority w:val="99"/>
    <w:semiHidden/>
    <w:unhideWhenUsed/>
    <w:rsid w:val="009B5C32"/>
    <w:rPr>
      <w:b/>
      <w:bCs/>
    </w:rPr>
  </w:style>
  <w:style w:type="character" w:customStyle="1" w:styleId="CommentSubjectChar">
    <w:name w:val="Comment Subject Char"/>
    <w:basedOn w:val="CommentTextChar"/>
    <w:link w:val="CommentSubject"/>
    <w:uiPriority w:val="99"/>
    <w:semiHidden/>
    <w:rsid w:val="009B5C32"/>
    <w:rPr>
      <w:b/>
      <w:bCs/>
      <w:lang w:val="sq-AL"/>
    </w:rPr>
  </w:style>
  <w:style w:type="paragraph" w:styleId="Revision">
    <w:name w:val="Revision"/>
    <w:hidden/>
    <w:uiPriority w:val="99"/>
    <w:semiHidden/>
    <w:rsid w:val="004D338A"/>
    <w:rPr>
      <w:sz w:val="22"/>
      <w:szCs w:val="22"/>
      <w:lang w:val="sq-AL"/>
    </w:rPr>
  </w:style>
  <w:style w:type="paragraph" w:styleId="FootnoteText">
    <w:name w:val="footnote text"/>
    <w:basedOn w:val="Normal"/>
    <w:link w:val="FootnoteTextChar"/>
    <w:uiPriority w:val="99"/>
    <w:semiHidden/>
    <w:unhideWhenUsed/>
    <w:rsid w:val="00792CEC"/>
    <w:pPr>
      <w:spacing w:after="0" w:line="240" w:lineRule="auto"/>
      <w:jc w:val="left"/>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792CEC"/>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792CEC"/>
    <w:rPr>
      <w:vertAlign w:val="superscript"/>
    </w:rPr>
  </w:style>
  <w:style w:type="character" w:customStyle="1" w:styleId="Heading1Char">
    <w:name w:val="Heading 1 Char"/>
    <w:basedOn w:val="DefaultParagraphFont"/>
    <w:link w:val="Heading1"/>
    <w:uiPriority w:val="9"/>
    <w:rsid w:val="00B72723"/>
    <w:rPr>
      <w:rFonts w:asciiTheme="majorHAnsi" w:eastAsiaTheme="majorEastAsia" w:hAnsiTheme="majorHAnsi" w:cstheme="majorBidi"/>
      <w:color w:val="365F91" w:themeColor="accent1" w:themeShade="BF"/>
      <w:sz w:val="32"/>
      <w:szCs w:val="32"/>
      <w:lang w:val="sq-AL"/>
    </w:rPr>
  </w:style>
  <w:style w:type="character" w:customStyle="1" w:styleId="Heading2Char">
    <w:name w:val="Heading 2 Char"/>
    <w:basedOn w:val="DefaultParagraphFont"/>
    <w:link w:val="Heading2"/>
    <w:uiPriority w:val="9"/>
    <w:rsid w:val="00B72723"/>
    <w:rPr>
      <w:rFonts w:asciiTheme="majorHAnsi" w:eastAsiaTheme="majorEastAsia" w:hAnsiTheme="majorHAnsi" w:cstheme="majorBidi"/>
      <w:color w:val="365F91" w:themeColor="accent1" w:themeShade="BF"/>
      <w:sz w:val="26"/>
      <w:szCs w:val="26"/>
      <w:lang w:val="sq-AL"/>
    </w:rPr>
  </w:style>
  <w:style w:type="paragraph" w:styleId="TOCHeading">
    <w:name w:val="TOC Heading"/>
    <w:basedOn w:val="Heading1"/>
    <w:next w:val="Normal"/>
    <w:uiPriority w:val="39"/>
    <w:unhideWhenUsed/>
    <w:qFormat/>
    <w:rsid w:val="00167577"/>
    <w:pPr>
      <w:spacing w:line="259" w:lineRule="auto"/>
      <w:jc w:val="left"/>
      <w:outlineLvl w:val="9"/>
    </w:pPr>
    <w:rPr>
      <w:lang w:val="en-US"/>
    </w:rPr>
  </w:style>
  <w:style w:type="paragraph" w:styleId="TOC1">
    <w:name w:val="toc 1"/>
    <w:basedOn w:val="Normal"/>
    <w:next w:val="Normal"/>
    <w:autoRedefine/>
    <w:uiPriority w:val="39"/>
    <w:unhideWhenUsed/>
    <w:rsid w:val="00167577"/>
    <w:pPr>
      <w:spacing w:after="100"/>
    </w:pPr>
  </w:style>
  <w:style w:type="paragraph" w:styleId="TOC2">
    <w:name w:val="toc 2"/>
    <w:basedOn w:val="Normal"/>
    <w:next w:val="Normal"/>
    <w:autoRedefine/>
    <w:uiPriority w:val="39"/>
    <w:unhideWhenUsed/>
    <w:rsid w:val="00167577"/>
    <w:pPr>
      <w:spacing w:after="100"/>
      <w:ind w:left="220"/>
    </w:pPr>
  </w:style>
  <w:style w:type="character" w:customStyle="1" w:styleId="UnresolvedMention1">
    <w:name w:val="Unresolved Mention1"/>
    <w:basedOn w:val="DefaultParagraphFont"/>
    <w:uiPriority w:val="99"/>
    <w:semiHidden/>
    <w:unhideWhenUsed/>
    <w:rsid w:val="00E07313"/>
    <w:rPr>
      <w:color w:val="605E5C"/>
      <w:shd w:val="clear" w:color="auto" w:fill="E1DFDD"/>
    </w:rPr>
  </w:style>
  <w:style w:type="paragraph" w:styleId="NoSpacing">
    <w:name w:val="No Spacing"/>
    <w:uiPriority w:val="1"/>
    <w:qFormat/>
    <w:rsid w:val="00F50782"/>
    <w:pPr>
      <w:jc w:val="both"/>
    </w:pPr>
    <w:rPr>
      <w:sz w:val="22"/>
      <w:szCs w:val="22"/>
      <w:lang w:val="sq-AL"/>
    </w:rPr>
  </w:style>
  <w:style w:type="table" w:styleId="GridTable4-Accent1">
    <w:name w:val="Grid Table 4 Accent 1"/>
    <w:basedOn w:val="TableNormal"/>
    <w:uiPriority w:val="49"/>
    <w:rsid w:val="00FC0A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2B14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1">
    <w:name w:val="Grid Table 6 Colorful Accent 1"/>
    <w:basedOn w:val="TableNormal"/>
    <w:uiPriority w:val="51"/>
    <w:rsid w:val="00D07CD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D07CD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D07CD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1F2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1F2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2A1F2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1">
    <w:name w:val="List Table 3 Accent 1"/>
    <w:basedOn w:val="TableNormal"/>
    <w:uiPriority w:val="48"/>
    <w:rsid w:val="002A1F2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967">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sChild>
            <w:div w:id="573468533">
              <w:marLeft w:val="0"/>
              <w:marRight w:val="0"/>
              <w:marTop w:val="0"/>
              <w:marBottom w:val="0"/>
              <w:divBdr>
                <w:top w:val="none" w:sz="0" w:space="0" w:color="auto"/>
                <w:left w:val="none" w:sz="0" w:space="0" w:color="auto"/>
                <w:bottom w:val="none" w:sz="0" w:space="0" w:color="auto"/>
                <w:right w:val="none" w:sz="0" w:space="0" w:color="auto"/>
              </w:divBdr>
              <w:divsChild>
                <w:div w:id="688604729">
                  <w:marLeft w:val="0"/>
                  <w:marRight w:val="0"/>
                  <w:marTop w:val="0"/>
                  <w:marBottom w:val="0"/>
                  <w:divBdr>
                    <w:top w:val="none" w:sz="0" w:space="0" w:color="auto"/>
                    <w:left w:val="none" w:sz="0" w:space="0" w:color="auto"/>
                    <w:bottom w:val="none" w:sz="0" w:space="0" w:color="auto"/>
                    <w:right w:val="none" w:sz="0" w:space="0" w:color="auto"/>
                  </w:divBdr>
                  <w:divsChild>
                    <w:div w:id="1951164694">
                      <w:marLeft w:val="0"/>
                      <w:marRight w:val="0"/>
                      <w:marTop w:val="0"/>
                      <w:marBottom w:val="0"/>
                      <w:divBdr>
                        <w:top w:val="none" w:sz="0" w:space="0" w:color="auto"/>
                        <w:left w:val="none" w:sz="0" w:space="0" w:color="auto"/>
                        <w:bottom w:val="none" w:sz="0" w:space="0" w:color="auto"/>
                        <w:right w:val="none" w:sz="0" w:space="0" w:color="auto"/>
                      </w:divBdr>
                      <w:divsChild>
                        <w:div w:id="1901751563">
                          <w:marLeft w:val="0"/>
                          <w:marRight w:val="0"/>
                          <w:marTop w:val="0"/>
                          <w:marBottom w:val="0"/>
                          <w:divBdr>
                            <w:top w:val="none" w:sz="0" w:space="0" w:color="auto"/>
                            <w:left w:val="none" w:sz="0" w:space="0" w:color="auto"/>
                            <w:bottom w:val="none" w:sz="0" w:space="0" w:color="auto"/>
                            <w:right w:val="none" w:sz="0" w:space="0" w:color="auto"/>
                          </w:divBdr>
                          <w:divsChild>
                            <w:div w:id="1045519883">
                              <w:marLeft w:val="0"/>
                              <w:marRight w:val="0"/>
                              <w:marTop w:val="0"/>
                              <w:marBottom w:val="0"/>
                              <w:divBdr>
                                <w:top w:val="none" w:sz="0" w:space="0" w:color="auto"/>
                                <w:left w:val="none" w:sz="0" w:space="0" w:color="auto"/>
                                <w:bottom w:val="none" w:sz="0" w:space="0" w:color="auto"/>
                                <w:right w:val="none" w:sz="0" w:space="0" w:color="auto"/>
                              </w:divBdr>
                              <w:divsChild>
                                <w:div w:id="388959024">
                                  <w:marLeft w:val="0"/>
                                  <w:marRight w:val="0"/>
                                  <w:marTop w:val="0"/>
                                  <w:marBottom w:val="0"/>
                                  <w:divBdr>
                                    <w:top w:val="single" w:sz="6" w:space="0" w:color="F5F5F5"/>
                                    <w:left w:val="single" w:sz="6" w:space="0" w:color="F5F5F5"/>
                                    <w:bottom w:val="single" w:sz="6" w:space="0" w:color="F5F5F5"/>
                                    <w:right w:val="single" w:sz="6" w:space="0" w:color="F5F5F5"/>
                                  </w:divBdr>
                                  <w:divsChild>
                                    <w:div w:id="1301569326">
                                      <w:marLeft w:val="0"/>
                                      <w:marRight w:val="0"/>
                                      <w:marTop w:val="0"/>
                                      <w:marBottom w:val="0"/>
                                      <w:divBdr>
                                        <w:top w:val="none" w:sz="0" w:space="0" w:color="auto"/>
                                        <w:left w:val="none" w:sz="0" w:space="0" w:color="auto"/>
                                        <w:bottom w:val="none" w:sz="0" w:space="0" w:color="auto"/>
                                        <w:right w:val="none" w:sz="0" w:space="0" w:color="auto"/>
                                      </w:divBdr>
                                      <w:divsChild>
                                        <w:div w:id="10136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69047">
      <w:bodyDiv w:val="1"/>
      <w:marLeft w:val="0"/>
      <w:marRight w:val="0"/>
      <w:marTop w:val="0"/>
      <w:marBottom w:val="0"/>
      <w:divBdr>
        <w:top w:val="none" w:sz="0" w:space="0" w:color="auto"/>
        <w:left w:val="none" w:sz="0" w:space="0" w:color="auto"/>
        <w:bottom w:val="none" w:sz="0" w:space="0" w:color="auto"/>
        <w:right w:val="none" w:sz="0" w:space="0" w:color="auto"/>
      </w:divBdr>
      <w:divsChild>
        <w:div w:id="1404257819">
          <w:marLeft w:val="0"/>
          <w:marRight w:val="0"/>
          <w:marTop w:val="0"/>
          <w:marBottom w:val="0"/>
          <w:divBdr>
            <w:top w:val="none" w:sz="0" w:space="0" w:color="auto"/>
            <w:left w:val="none" w:sz="0" w:space="0" w:color="auto"/>
            <w:bottom w:val="none" w:sz="0" w:space="0" w:color="auto"/>
            <w:right w:val="none" w:sz="0" w:space="0" w:color="auto"/>
          </w:divBdr>
          <w:divsChild>
            <w:div w:id="1201479247">
              <w:marLeft w:val="0"/>
              <w:marRight w:val="0"/>
              <w:marTop w:val="0"/>
              <w:marBottom w:val="0"/>
              <w:divBdr>
                <w:top w:val="none" w:sz="0" w:space="0" w:color="auto"/>
                <w:left w:val="none" w:sz="0" w:space="0" w:color="auto"/>
                <w:bottom w:val="none" w:sz="0" w:space="0" w:color="auto"/>
                <w:right w:val="none" w:sz="0" w:space="0" w:color="auto"/>
              </w:divBdr>
              <w:divsChild>
                <w:div w:id="741954467">
                  <w:marLeft w:val="0"/>
                  <w:marRight w:val="0"/>
                  <w:marTop w:val="0"/>
                  <w:marBottom w:val="0"/>
                  <w:divBdr>
                    <w:top w:val="none" w:sz="0" w:space="0" w:color="auto"/>
                    <w:left w:val="none" w:sz="0" w:space="0" w:color="auto"/>
                    <w:bottom w:val="none" w:sz="0" w:space="0" w:color="auto"/>
                    <w:right w:val="none" w:sz="0" w:space="0" w:color="auto"/>
                  </w:divBdr>
                  <w:divsChild>
                    <w:div w:id="1146317879">
                      <w:marLeft w:val="0"/>
                      <w:marRight w:val="0"/>
                      <w:marTop w:val="0"/>
                      <w:marBottom w:val="0"/>
                      <w:divBdr>
                        <w:top w:val="none" w:sz="0" w:space="0" w:color="auto"/>
                        <w:left w:val="none" w:sz="0" w:space="0" w:color="auto"/>
                        <w:bottom w:val="none" w:sz="0" w:space="0" w:color="auto"/>
                        <w:right w:val="none" w:sz="0" w:space="0" w:color="auto"/>
                      </w:divBdr>
                      <w:divsChild>
                        <w:div w:id="229461820">
                          <w:marLeft w:val="0"/>
                          <w:marRight w:val="0"/>
                          <w:marTop w:val="0"/>
                          <w:marBottom w:val="0"/>
                          <w:divBdr>
                            <w:top w:val="none" w:sz="0" w:space="0" w:color="auto"/>
                            <w:left w:val="none" w:sz="0" w:space="0" w:color="auto"/>
                            <w:bottom w:val="none" w:sz="0" w:space="0" w:color="auto"/>
                            <w:right w:val="none" w:sz="0" w:space="0" w:color="auto"/>
                          </w:divBdr>
                          <w:divsChild>
                            <w:div w:id="195315424">
                              <w:marLeft w:val="0"/>
                              <w:marRight w:val="0"/>
                              <w:marTop w:val="0"/>
                              <w:marBottom w:val="0"/>
                              <w:divBdr>
                                <w:top w:val="none" w:sz="0" w:space="0" w:color="auto"/>
                                <w:left w:val="none" w:sz="0" w:space="0" w:color="auto"/>
                                <w:bottom w:val="none" w:sz="0" w:space="0" w:color="auto"/>
                                <w:right w:val="none" w:sz="0" w:space="0" w:color="auto"/>
                              </w:divBdr>
                              <w:divsChild>
                                <w:div w:id="1281884570">
                                  <w:marLeft w:val="0"/>
                                  <w:marRight w:val="0"/>
                                  <w:marTop w:val="0"/>
                                  <w:marBottom w:val="0"/>
                                  <w:divBdr>
                                    <w:top w:val="single" w:sz="6" w:space="0" w:color="F5F5F5"/>
                                    <w:left w:val="single" w:sz="6" w:space="0" w:color="F5F5F5"/>
                                    <w:bottom w:val="single" w:sz="6" w:space="0" w:color="F5F5F5"/>
                                    <w:right w:val="single" w:sz="6" w:space="0" w:color="F5F5F5"/>
                                  </w:divBdr>
                                  <w:divsChild>
                                    <w:div w:id="1866168093">
                                      <w:marLeft w:val="0"/>
                                      <w:marRight w:val="0"/>
                                      <w:marTop w:val="0"/>
                                      <w:marBottom w:val="0"/>
                                      <w:divBdr>
                                        <w:top w:val="none" w:sz="0" w:space="0" w:color="auto"/>
                                        <w:left w:val="none" w:sz="0" w:space="0" w:color="auto"/>
                                        <w:bottom w:val="none" w:sz="0" w:space="0" w:color="auto"/>
                                        <w:right w:val="none" w:sz="0" w:space="0" w:color="auto"/>
                                      </w:divBdr>
                                      <w:divsChild>
                                        <w:div w:id="2241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83743">
      <w:bodyDiv w:val="1"/>
      <w:marLeft w:val="0"/>
      <w:marRight w:val="0"/>
      <w:marTop w:val="0"/>
      <w:marBottom w:val="0"/>
      <w:divBdr>
        <w:top w:val="none" w:sz="0" w:space="0" w:color="auto"/>
        <w:left w:val="none" w:sz="0" w:space="0" w:color="auto"/>
        <w:bottom w:val="none" w:sz="0" w:space="0" w:color="auto"/>
        <w:right w:val="none" w:sz="0" w:space="0" w:color="auto"/>
      </w:divBdr>
      <w:divsChild>
        <w:div w:id="682973481">
          <w:marLeft w:val="0"/>
          <w:marRight w:val="0"/>
          <w:marTop w:val="0"/>
          <w:marBottom w:val="0"/>
          <w:divBdr>
            <w:top w:val="none" w:sz="0" w:space="0" w:color="auto"/>
            <w:left w:val="none" w:sz="0" w:space="0" w:color="auto"/>
            <w:bottom w:val="none" w:sz="0" w:space="0" w:color="auto"/>
            <w:right w:val="none" w:sz="0" w:space="0" w:color="auto"/>
          </w:divBdr>
          <w:divsChild>
            <w:div w:id="824785208">
              <w:marLeft w:val="0"/>
              <w:marRight w:val="0"/>
              <w:marTop w:val="0"/>
              <w:marBottom w:val="0"/>
              <w:divBdr>
                <w:top w:val="none" w:sz="0" w:space="0" w:color="auto"/>
                <w:left w:val="none" w:sz="0" w:space="0" w:color="auto"/>
                <w:bottom w:val="none" w:sz="0" w:space="0" w:color="auto"/>
                <w:right w:val="none" w:sz="0" w:space="0" w:color="auto"/>
              </w:divBdr>
              <w:divsChild>
                <w:div w:id="102847548">
                  <w:marLeft w:val="0"/>
                  <w:marRight w:val="0"/>
                  <w:marTop w:val="0"/>
                  <w:marBottom w:val="0"/>
                  <w:divBdr>
                    <w:top w:val="none" w:sz="0" w:space="0" w:color="auto"/>
                    <w:left w:val="none" w:sz="0" w:space="0" w:color="auto"/>
                    <w:bottom w:val="none" w:sz="0" w:space="0" w:color="auto"/>
                    <w:right w:val="none" w:sz="0" w:space="0" w:color="auto"/>
                  </w:divBdr>
                  <w:divsChild>
                    <w:div w:id="106773742">
                      <w:marLeft w:val="0"/>
                      <w:marRight w:val="0"/>
                      <w:marTop w:val="0"/>
                      <w:marBottom w:val="0"/>
                      <w:divBdr>
                        <w:top w:val="none" w:sz="0" w:space="0" w:color="auto"/>
                        <w:left w:val="none" w:sz="0" w:space="0" w:color="auto"/>
                        <w:bottom w:val="none" w:sz="0" w:space="0" w:color="auto"/>
                        <w:right w:val="none" w:sz="0" w:space="0" w:color="auto"/>
                      </w:divBdr>
                      <w:divsChild>
                        <w:div w:id="1711419776">
                          <w:marLeft w:val="0"/>
                          <w:marRight w:val="0"/>
                          <w:marTop w:val="0"/>
                          <w:marBottom w:val="0"/>
                          <w:divBdr>
                            <w:top w:val="none" w:sz="0" w:space="0" w:color="auto"/>
                            <w:left w:val="none" w:sz="0" w:space="0" w:color="auto"/>
                            <w:bottom w:val="none" w:sz="0" w:space="0" w:color="auto"/>
                            <w:right w:val="none" w:sz="0" w:space="0" w:color="auto"/>
                          </w:divBdr>
                          <w:divsChild>
                            <w:div w:id="24839024">
                              <w:marLeft w:val="0"/>
                              <w:marRight w:val="0"/>
                              <w:marTop w:val="0"/>
                              <w:marBottom w:val="0"/>
                              <w:divBdr>
                                <w:top w:val="none" w:sz="0" w:space="0" w:color="auto"/>
                                <w:left w:val="none" w:sz="0" w:space="0" w:color="auto"/>
                                <w:bottom w:val="none" w:sz="0" w:space="0" w:color="auto"/>
                                <w:right w:val="none" w:sz="0" w:space="0" w:color="auto"/>
                              </w:divBdr>
                              <w:divsChild>
                                <w:div w:id="1001271606">
                                  <w:marLeft w:val="0"/>
                                  <w:marRight w:val="0"/>
                                  <w:marTop w:val="0"/>
                                  <w:marBottom w:val="0"/>
                                  <w:divBdr>
                                    <w:top w:val="single" w:sz="6" w:space="0" w:color="F5F5F5"/>
                                    <w:left w:val="single" w:sz="6" w:space="0" w:color="F5F5F5"/>
                                    <w:bottom w:val="single" w:sz="6" w:space="0" w:color="F5F5F5"/>
                                    <w:right w:val="single" w:sz="6" w:space="0" w:color="F5F5F5"/>
                                  </w:divBdr>
                                  <w:divsChild>
                                    <w:div w:id="1476996341">
                                      <w:marLeft w:val="0"/>
                                      <w:marRight w:val="0"/>
                                      <w:marTop w:val="0"/>
                                      <w:marBottom w:val="0"/>
                                      <w:divBdr>
                                        <w:top w:val="none" w:sz="0" w:space="0" w:color="auto"/>
                                        <w:left w:val="none" w:sz="0" w:space="0" w:color="auto"/>
                                        <w:bottom w:val="none" w:sz="0" w:space="0" w:color="auto"/>
                                        <w:right w:val="none" w:sz="0" w:space="0" w:color="auto"/>
                                      </w:divBdr>
                                      <w:divsChild>
                                        <w:div w:id="1035156620">
                                          <w:marLeft w:val="0"/>
                                          <w:marRight w:val="0"/>
                                          <w:marTop w:val="0"/>
                                          <w:marBottom w:val="0"/>
                                          <w:divBdr>
                                            <w:top w:val="none" w:sz="0" w:space="0" w:color="auto"/>
                                            <w:left w:val="none" w:sz="0" w:space="0" w:color="auto"/>
                                            <w:bottom w:val="none" w:sz="0" w:space="0" w:color="auto"/>
                                            <w:right w:val="none" w:sz="0" w:space="0" w:color="auto"/>
                                          </w:divBdr>
                                          <w:divsChild>
                                            <w:div w:id="18662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94556">
      <w:bodyDiv w:val="1"/>
      <w:marLeft w:val="0"/>
      <w:marRight w:val="0"/>
      <w:marTop w:val="0"/>
      <w:marBottom w:val="0"/>
      <w:divBdr>
        <w:top w:val="none" w:sz="0" w:space="0" w:color="auto"/>
        <w:left w:val="none" w:sz="0" w:space="0" w:color="auto"/>
        <w:bottom w:val="none" w:sz="0" w:space="0" w:color="auto"/>
        <w:right w:val="none" w:sz="0" w:space="0" w:color="auto"/>
      </w:divBdr>
      <w:divsChild>
        <w:div w:id="2106655862">
          <w:marLeft w:val="0"/>
          <w:marRight w:val="0"/>
          <w:marTop w:val="0"/>
          <w:marBottom w:val="0"/>
          <w:divBdr>
            <w:top w:val="none" w:sz="0" w:space="0" w:color="auto"/>
            <w:left w:val="none" w:sz="0" w:space="0" w:color="auto"/>
            <w:bottom w:val="none" w:sz="0" w:space="0" w:color="auto"/>
            <w:right w:val="none" w:sz="0" w:space="0" w:color="auto"/>
          </w:divBdr>
          <w:divsChild>
            <w:div w:id="859661436">
              <w:marLeft w:val="0"/>
              <w:marRight w:val="0"/>
              <w:marTop w:val="0"/>
              <w:marBottom w:val="0"/>
              <w:divBdr>
                <w:top w:val="none" w:sz="0" w:space="0" w:color="auto"/>
                <w:left w:val="none" w:sz="0" w:space="0" w:color="auto"/>
                <w:bottom w:val="none" w:sz="0" w:space="0" w:color="auto"/>
                <w:right w:val="none" w:sz="0" w:space="0" w:color="auto"/>
              </w:divBdr>
              <w:divsChild>
                <w:div w:id="348261064">
                  <w:marLeft w:val="0"/>
                  <w:marRight w:val="0"/>
                  <w:marTop w:val="0"/>
                  <w:marBottom w:val="0"/>
                  <w:divBdr>
                    <w:top w:val="none" w:sz="0" w:space="0" w:color="auto"/>
                    <w:left w:val="none" w:sz="0" w:space="0" w:color="auto"/>
                    <w:bottom w:val="none" w:sz="0" w:space="0" w:color="auto"/>
                    <w:right w:val="none" w:sz="0" w:space="0" w:color="auto"/>
                  </w:divBdr>
                  <w:divsChild>
                    <w:div w:id="1954940378">
                      <w:marLeft w:val="0"/>
                      <w:marRight w:val="0"/>
                      <w:marTop w:val="0"/>
                      <w:marBottom w:val="0"/>
                      <w:divBdr>
                        <w:top w:val="none" w:sz="0" w:space="0" w:color="auto"/>
                        <w:left w:val="none" w:sz="0" w:space="0" w:color="auto"/>
                        <w:bottom w:val="none" w:sz="0" w:space="0" w:color="auto"/>
                        <w:right w:val="none" w:sz="0" w:space="0" w:color="auto"/>
                      </w:divBdr>
                      <w:divsChild>
                        <w:div w:id="1879244803">
                          <w:marLeft w:val="0"/>
                          <w:marRight w:val="0"/>
                          <w:marTop w:val="0"/>
                          <w:marBottom w:val="0"/>
                          <w:divBdr>
                            <w:top w:val="none" w:sz="0" w:space="0" w:color="auto"/>
                            <w:left w:val="none" w:sz="0" w:space="0" w:color="auto"/>
                            <w:bottom w:val="none" w:sz="0" w:space="0" w:color="auto"/>
                            <w:right w:val="none" w:sz="0" w:space="0" w:color="auto"/>
                          </w:divBdr>
                          <w:divsChild>
                            <w:div w:id="1091661061">
                              <w:marLeft w:val="0"/>
                              <w:marRight w:val="0"/>
                              <w:marTop w:val="0"/>
                              <w:marBottom w:val="0"/>
                              <w:divBdr>
                                <w:top w:val="none" w:sz="0" w:space="0" w:color="auto"/>
                                <w:left w:val="none" w:sz="0" w:space="0" w:color="auto"/>
                                <w:bottom w:val="none" w:sz="0" w:space="0" w:color="auto"/>
                                <w:right w:val="none" w:sz="0" w:space="0" w:color="auto"/>
                              </w:divBdr>
                              <w:divsChild>
                                <w:div w:id="964429539">
                                  <w:marLeft w:val="0"/>
                                  <w:marRight w:val="0"/>
                                  <w:marTop w:val="0"/>
                                  <w:marBottom w:val="0"/>
                                  <w:divBdr>
                                    <w:top w:val="single" w:sz="6" w:space="0" w:color="F5F5F5"/>
                                    <w:left w:val="single" w:sz="6" w:space="0" w:color="F5F5F5"/>
                                    <w:bottom w:val="single" w:sz="6" w:space="0" w:color="F5F5F5"/>
                                    <w:right w:val="single" w:sz="6" w:space="0" w:color="F5F5F5"/>
                                  </w:divBdr>
                                  <w:divsChild>
                                    <w:div w:id="99375145">
                                      <w:marLeft w:val="0"/>
                                      <w:marRight w:val="0"/>
                                      <w:marTop w:val="0"/>
                                      <w:marBottom w:val="0"/>
                                      <w:divBdr>
                                        <w:top w:val="none" w:sz="0" w:space="0" w:color="auto"/>
                                        <w:left w:val="none" w:sz="0" w:space="0" w:color="auto"/>
                                        <w:bottom w:val="none" w:sz="0" w:space="0" w:color="auto"/>
                                        <w:right w:val="none" w:sz="0" w:space="0" w:color="auto"/>
                                      </w:divBdr>
                                      <w:divsChild>
                                        <w:div w:id="3871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673492">
      <w:bodyDiv w:val="1"/>
      <w:marLeft w:val="0"/>
      <w:marRight w:val="0"/>
      <w:marTop w:val="0"/>
      <w:marBottom w:val="0"/>
      <w:divBdr>
        <w:top w:val="none" w:sz="0" w:space="0" w:color="auto"/>
        <w:left w:val="none" w:sz="0" w:space="0" w:color="auto"/>
        <w:bottom w:val="none" w:sz="0" w:space="0" w:color="auto"/>
        <w:right w:val="none" w:sz="0" w:space="0" w:color="auto"/>
      </w:divBdr>
      <w:divsChild>
        <w:div w:id="1865509521">
          <w:marLeft w:val="0"/>
          <w:marRight w:val="0"/>
          <w:marTop w:val="0"/>
          <w:marBottom w:val="0"/>
          <w:divBdr>
            <w:top w:val="none" w:sz="0" w:space="0" w:color="auto"/>
            <w:left w:val="none" w:sz="0" w:space="0" w:color="auto"/>
            <w:bottom w:val="none" w:sz="0" w:space="0" w:color="auto"/>
            <w:right w:val="none" w:sz="0" w:space="0" w:color="auto"/>
          </w:divBdr>
          <w:divsChild>
            <w:div w:id="1351758848">
              <w:marLeft w:val="0"/>
              <w:marRight w:val="0"/>
              <w:marTop w:val="0"/>
              <w:marBottom w:val="0"/>
              <w:divBdr>
                <w:top w:val="none" w:sz="0" w:space="0" w:color="auto"/>
                <w:left w:val="none" w:sz="0" w:space="0" w:color="auto"/>
                <w:bottom w:val="none" w:sz="0" w:space="0" w:color="auto"/>
                <w:right w:val="none" w:sz="0" w:space="0" w:color="auto"/>
              </w:divBdr>
              <w:divsChild>
                <w:div w:id="1902056585">
                  <w:marLeft w:val="0"/>
                  <w:marRight w:val="0"/>
                  <w:marTop w:val="0"/>
                  <w:marBottom w:val="0"/>
                  <w:divBdr>
                    <w:top w:val="none" w:sz="0" w:space="0" w:color="auto"/>
                    <w:left w:val="none" w:sz="0" w:space="0" w:color="auto"/>
                    <w:bottom w:val="none" w:sz="0" w:space="0" w:color="auto"/>
                    <w:right w:val="none" w:sz="0" w:space="0" w:color="auto"/>
                  </w:divBdr>
                  <w:divsChild>
                    <w:div w:id="106507156">
                      <w:marLeft w:val="0"/>
                      <w:marRight w:val="0"/>
                      <w:marTop w:val="0"/>
                      <w:marBottom w:val="0"/>
                      <w:divBdr>
                        <w:top w:val="none" w:sz="0" w:space="0" w:color="auto"/>
                        <w:left w:val="none" w:sz="0" w:space="0" w:color="auto"/>
                        <w:bottom w:val="none" w:sz="0" w:space="0" w:color="auto"/>
                        <w:right w:val="none" w:sz="0" w:space="0" w:color="auto"/>
                      </w:divBdr>
                      <w:divsChild>
                        <w:div w:id="1612203980">
                          <w:marLeft w:val="0"/>
                          <w:marRight w:val="0"/>
                          <w:marTop w:val="0"/>
                          <w:marBottom w:val="0"/>
                          <w:divBdr>
                            <w:top w:val="none" w:sz="0" w:space="0" w:color="auto"/>
                            <w:left w:val="none" w:sz="0" w:space="0" w:color="auto"/>
                            <w:bottom w:val="none" w:sz="0" w:space="0" w:color="auto"/>
                            <w:right w:val="none" w:sz="0" w:space="0" w:color="auto"/>
                          </w:divBdr>
                          <w:divsChild>
                            <w:div w:id="740904010">
                              <w:marLeft w:val="0"/>
                              <w:marRight w:val="0"/>
                              <w:marTop w:val="0"/>
                              <w:marBottom w:val="0"/>
                              <w:divBdr>
                                <w:top w:val="none" w:sz="0" w:space="0" w:color="auto"/>
                                <w:left w:val="none" w:sz="0" w:space="0" w:color="auto"/>
                                <w:bottom w:val="none" w:sz="0" w:space="0" w:color="auto"/>
                                <w:right w:val="none" w:sz="0" w:space="0" w:color="auto"/>
                              </w:divBdr>
                              <w:divsChild>
                                <w:div w:id="1814249598">
                                  <w:marLeft w:val="0"/>
                                  <w:marRight w:val="0"/>
                                  <w:marTop w:val="0"/>
                                  <w:marBottom w:val="0"/>
                                  <w:divBdr>
                                    <w:top w:val="single" w:sz="6" w:space="0" w:color="F5F5F5"/>
                                    <w:left w:val="single" w:sz="6" w:space="0" w:color="F5F5F5"/>
                                    <w:bottom w:val="single" w:sz="6" w:space="0" w:color="F5F5F5"/>
                                    <w:right w:val="single" w:sz="6" w:space="0" w:color="F5F5F5"/>
                                  </w:divBdr>
                                  <w:divsChild>
                                    <w:div w:id="489256617">
                                      <w:marLeft w:val="0"/>
                                      <w:marRight w:val="0"/>
                                      <w:marTop w:val="0"/>
                                      <w:marBottom w:val="0"/>
                                      <w:divBdr>
                                        <w:top w:val="none" w:sz="0" w:space="0" w:color="auto"/>
                                        <w:left w:val="none" w:sz="0" w:space="0" w:color="auto"/>
                                        <w:bottom w:val="none" w:sz="0" w:space="0" w:color="auto"/>
                                        <w:right w:val="none" w:sz="0" w:space="0" w:color="auto"/>
                                      </w:divBdr>
                                      <w:divsChild>
                                        <w:div w:id="11419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295582">
      <w:bodyDiv w:val="1"/>
      <w:marLeft w:val="0"/>
      <w:marRight w:val="0"/>
      <w:marTop w:val="0"/>
      <w:marBottom w:val="0"/>
      <w:divBdr>
        <w:top w:val="none" w:sz="0" w:space="0" w:color="auto"/>
        <w:left w:val="none" w:sz="0" w:space="0" w:color="auto"/>
        <w:bottom w:val="none" w:sz="0" w:space="0" w:color="auto"/>
        <w:right w:val="none" w:sz="0" w:space="0" w:color="auto"/>
      </w:divBdr>
      <w:divsChild>
        <w:div w:id="2019040988">
          <w:marLeft w:val="0"/>
          <w:marRight w:val="0"/>
          <w:marTop w:val="0"/>
          <w:marBottom w:val="0"/>
          <w:divBdr>
            <w:top w:val="none" w:sz="0" w:space="0" w:color="auto"/>
            <w:left w:val="none" w:sz="0" w:space="0" w:color="auto"/>
            <w:bottom w:val="none" w:sz="0" w:space="0" w:color="auto"/>
            <w:right w:val="none" w:sz="0" w:space="0" w:color="auto"/>
          </w:divBdr>
          <w:divsChild>
            <w:div w:id="501967516">
              <w:marLeft w:val="0"/>
              <w:marRight w:val="0"/>
              <w:marTop w:val="0"/>
              <w:marBottom w:val="0"/>
              <w:divBdr>
                <w:top w:val="none" w:sz="0" w:space="0" w:color="auto"/>
                <w:left w:val="none" w:sz="0" w:space="0" w:color="auto"/>
                <w:bottom w:val="none" w:sz="0" w:space="0" w:color="auto"/>
                <w:right w:val="none" w:sz="0" w:space="0" w:color="auto"/>
              </w:divBdr>
              <w:divsChild>
                <w:div w:id="1823696270">
                  <w:marLeft w:val="0"/>
                  <w:marRight w:val="0"/>
                  <w:marTop w:val="0"/>
                  <w:marBottom w:val="0"/>
                  <w:divBdr>
                    <w:top w:val="none" w:sz="0" w:space="0" w:color="auto"/>
                    <w:left w:val="none" w:sz="0" w:space="0" w:color="auto"/>
                    <w:bottom w:val="none" w:sz="0" w:space="0" w:color="auto"/>
                    <w:right w:val="none" w:sz="0" w:space="0" w:color="auto"/>
                  </w:divBdr>
                  <w:divsChild>
                    <w:div w:id="1196701159">
                      <w:marLeft w:val="0"/>
                      <w:marRight w:val="0"/>
                      <w:marTop w:val="0"/>
                      <w:marBottom w:val="0"/>
                      <w:divBdr>
                        <w:top w:val="none" w:sz="0" w:space="0" w:color="auto"/>
                        <w:left w:val="none" w:sz="0" w:space="0" w:color="auto"/>
                        <w:bottom w:val="none" w:sz="0" w:space="0" w:color="auto"/>
                        <w:right w:val="none" w:sz="0" w:space="0" w:color="auto"/>
                      </w:divBdr>
                      <w:divsChild>
                        <w:div w:id="1278022179">
                          <w:marLeft w:val="0"/>
                          <w:marRight w:val="0"/>
                          <w:marTop w:val="0"/>
                          <w:marBottom w:val="0"/>
                          <w:divBdr>
                            <w:top w:val="none" w:sz="0" w:space="0" w:color="auto"/>
                            <w:left w:val="none" w:sz="0" w:space="0" w:color="auto"/>
                            <w:bottom w:val="none" w:sz="0" w:space="0" w:color="auto"/>
                            <w:right w:val="none" w:sz="0" w:space="0" w:color="auto"/>
                          </w:divBdr>
                          <w:divsChild>
                            <w:div w:id="882983389">
                              <w:marLeft w:val="0"/>
                              <w:marRight w:val="0"/>
                              <w:marTop w:val="0"/>
                              <w:marBottom w:val="0"/>
                              <w:divBdr>
                                <w:top w:val="none" w:sz="0" w:space="0" w:color="auto"/>
                                <w:left w:val="none" w:sz="0" w:space="0" w:color="auto"/>
                                <w:bottom w:val="none" w:sz="0" w:space="0" w:color="auto"/>
                                <w:right w:val="none" w:sz="0" w:space="0" w:color="auto"/>
                              </w:divBdr>
                              <w:divsChild>
                                <w:div w:id="1024865478">
                                  <w:marLeft w:val="0"/>
                                  <w:marRight w:val="0"/>
                                  <w:marTop w:val="0"/>
                                  <w:marBottom w:val="0"/>
                                  <w:divBdr>
                                    <w:top w:val="single" w:sz="6" w:space="0" w:color="F5F5F5"/>
                                    <w:left w:val="single" w:sz="6" w:space="0" w:color="F5F5F5"/>
                                    <w:bottom w:val="single" w:sz="6" w:space="0" w:color="F5F5F5"/>
                                    <w:right w:val="single" w:sz="6" w:space="0" w:color="F5F5F5"/>
                                  </w:divBdr>
                                  <w:divsChild>
                                    <w:div w:id="1604146971">
                                      <w:marLeft w:val="0"/>
                                      <w:marRight w:val="0"/>
                                      <w:marTop w:val="0"/>
                                      <w:marBottom w:val="0"/>
                                      <w:divBdr>
                                        <w:top w:val="none" w:sz="0" w:space="0" w:color="auto"/>
                                        <w:left w:val="none" w:sz="0" w:space="0" w:color="auto"/>
                                        <w:bottom w:val="none" w:sz="0" w:space="0" w:color="auto"/>
                                        <w:right w:val="none" w:sz="0" w:space="0" w:color="auto"/>
                                      </w:divBdr>
                                      <w:divsChild>
                                        <w:div w:id="834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krimorja.MZHR@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5EFB-2235-46C6-A392-BAC21807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MINISTRIA  E ADMINISTRIMIT TË PUSHTETIT LOKAL</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MINISTRIA  E ADMINISTRIMIT TË PUSHTETIT LOKAL</dc:title>
  <dc:creator>user</dc:creator>
  <cp:lastModifiedBy>Besim Kamberaj</cp:lastModifiedBy>
  <cp:revision>56</cp:revision>
  <cp:lastPrinted>2021-01-21T07:43:00Z</cp:lastPrinted>
  <dcterms:created xsi:type="dcterms:W3CDTF">2022-08-12T06:05:00Z</dcterms:created>
  <dcterms:modified xsi:type="dcterms:W3CDTF">2023-08-17T11:38:00Z</dcterms:modified>
</cp:coreProperties>
</file>